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FC40" w14:textId="23C7C204" w:rsidR="005C35E0" w:rsidRDefault="00F75080" w:rsidP="005C35E0">
      <w:pPr>
        <w:pStyle w:val="Title"/>
        <w:jc w:val="center"/>
      </w:pPr>
      <w:r>
        <w:t>SMAC</w:t>
      </w:r>
      <w:r w:rsidR="00A650F1">
        <w:t xml:space="preserve"> Governing Board</w:t>
      </w:r>
      <w:r>
        <w:t xml:space="preserve"> </w:t>
      </w:r>
      <w:r w:rsidR="001C0E42">
        <w:t>Meeting Notes</w:t>
      </w:r>
    </w:p>
    <w:p w14:paraId="07989F02" w14:textId="0D0273D6" w:rsidR="00C03FAF" w:rsidRDefault="00243434" w:rsidP="001C0E42">
      <w:pPr>
        <w:pStyle w:val="Subtitle"/>
        <w:spacing w:after="0" w:line="240" w:lineRule="auto"/>
        <w:jc w:val="center"/>
      </w:pPr>
      <w:r>
        <w:t>June 21</w:t>
      </w:r>
      <w:r w:rsidRPr="00243434">
        <w:rPr>
          <w:vertAlign w:val="superscript"/>
        </w:rPr>
        <w:t>st</w:t>
      </w:r>
      <w:r w:rsidR="00094832">
        <w:t>, 2022</w:t>
      </w:r>
    </w:p>
    <w:p w14:paraId="1CE83F30" w14:textId="262DF675" w:rsidR="00A72767" w:rsidRPr="00A72767" w:rsidRDefault="002125E6" w:rsidP="001C0E42">
      <w:pPr>
        <w:pStyle w:val="Subtitle"/>
        <w:spacing w:after="0" w:line="240" w:lineRule="auto"/>
        <w:jc w:val="center"/>
      </w:pPr>
      <w:r>
        <w:t>1:00-</w:t>
      </w:r>
      <w:r w:rsidR="00AF229D">
        <w:t>3</w:t>
      </w:r>
      <w:r w:rsidR="00D534BC">
        <w:t>:00</w:t>
      </w:r>
    </w:p>
    <w:p w14:paraId="3BB8EDF6" w14:textId="6BEEAFFE" w:rsidR="005A7E55" w:rsidRDefault="00737BC3" w:rsidP="001C0E42">
      <w:pPr>
        <w:pStyle w:val="ListParagraph"/>
        <w:numPr>
          <w:ilvl w:val="0"/>
          <w:numId w:val="1"/>
        </w:numPr>
        <w:spacing w:after="0" w:line="240" w:lineRule="auto"/>
      </w:pPr>
      <w:r w:rsidRPr="001C0E42">
        <w:rPr>
          <w:b/>
          <w:bCs/>
        </w:rPr>
        <w:t>Introductions</w:t>
      </w:r>
      <w:r>
        <w:tab/>
      </w:r>
      <w:r w:rsidR="005A7E55">
        <w:tab/>
      </w:r>
      <w:r w:rsidR="005A7E55">
        <w:tab/>
      </w:r>
      <w:r w:rsidR="005A7E55">
        <w:tab/>
      </w:r>
      <w:r w:rsidR="005A7E55">
        <w:tab/>
      </w:r>
      <w:r w:rsidR="005A7E55">
        <w:tab/>
      </w:r>
      <w:r w:rsidR="005A7E55">
        <w:tab/>
      </w:r>
      <w:r w:rsidR="005A7E55">
        <w:tab/>
      </w:r>
      <w:r w:rsidR="005A7E55">
        <w:tab/>
        <w:t>5 minutes</w:t>
      </w:r>
      <w:r>
        <w:tab/>
      </w:r>
      <w:r>
        <w:tab/>
      </w:r>
      <w:r>
        <w:tab/>
      </w:r>
      <w:r>
        <w:tab/>
      </w:r>
      <w:r>
        <w:tab/>
      </w:r>
      <w:r w:rsidR="00A72767">
        <w:tab/>
      </w:r>
    </w:p>
    <w:p w14:paraId="48029982" w14:textId="54D92E0F" w:rsidR="001C0E42" w:rsidRDefault="002F63C9" w:rsidP="001C0E42">
      <w:pPr>
        <w:pStyle w:val="ListParagraph"/>
        <w:numPr>
          <w:ilvl w:val="0"/>
          <w:numId w:val="1"/>
        </w:numPr>
        <w:spacing w:after="0" w:line="240" w:lineRule="auto"/>
      </w:pPr>
      <w:r w:rsidRPr="001C0E42">
        <w:rPr>
          <w:b/>
          <w:bCs/>
        </w:rPr>
        <w:t xml:space="preserve">Approve </w:t>
      </w:r>
      <w:r w:rsidR="00094832" w:rsidRPr="001C0E42">
        <w:rPr>
          <w:b/>
          <w:bCs/>
        </w:rPr>
        <w:t>April</w:t>
      </w:r>
      <w:r w:rsidR="00243434" w:rsidRPr="001C0E42">
        <w:rPr>
          <w:b/>
          <w:bCs/>
        </w:rPr>
        <w:t>/May</w:t>
      </w:r>
      <w:r w:rsidR="000007E9" w:rsidRPr="001C0E42">
        <w:rPr>
          <w:b/>
          <w:bCs/>
        </w:rPr>
        <w:t xml:space="preserve"> minutes</w:t>
      </w:r>
      <w:r w:rsidR="007C45F4">
        <w:tab/>
      </w:r>
      <w:r w:rsidR="009F3B3C">
        <w:tab/>
      </w:r>
      <w:r w:rsidR="002404D9">
        <w:tab/>
        <w:t>*Vote Required</w:t>
      </w:r>
      <w:r w:rsidR="005C2748">
        <w:tab/>
      </w:r>
      <w:r w:rsidR="005C2748">
        <w:tab/>
      </w:r>
      <w:r w:rsidR="00094832">
        <w:tab/>
      </w:r>
      <w:r w:rsidR="005C2748">
        <w:t>5 minutes</w:t>
      </w:r>
    </w:p>
    <w:p w14:paraId="1543EFCC" w14:textId="77777777" w:rsidR="001C0E42" w:rsidRDefault="001C0E42" w:rsidP="001C0E42">
      <w:pPr>
        <w:spacing w:after="0" w:line="240" w:lineRule="auto"/>
        <w:rPr>
          <w:i/>
          <w:iCs/>
        </w:rPr>
      </w:pPr>
    </w:p>
    <w:p w14:paraId="5C7E3FBC" w14:textId="569B0CB9" w:rsidR="00386FDF" w:rsidRDefault="001C0E42" w:rsidP="001C0E42">
      <w:pPr>
        <w:spacing w:after="0" w:line="240" w:lineRule="auto"/>
        <w:rPr>
          <w:i/>
          <w:iCs/>
        </w:rPr>
      </w:pPr>
      <w:r w:rsidRPr="001C0E42">
        <w:rPr>
          <w:i/>
          <w:iCs/>
        </w:rPr>
        <w:t xml:space="preserve">Motion: Jamie motioned to approve; Molly seconded the motion. </w:t>
      </w:r>
      <w:r>
        <w:rPr>
          <w:i/>
          <w:iCs/>
        </w:rPr>
        <w:t>Approved</w:t>
      </w:r>
    </w:p>
    <w:p w14:paraId="1824CB61" w14:textId="77777777" w:rsidR="001C0E42" w:rsidRPr="001C0E42" w:rsidRDefault="001C0E42" w:rsidP="001C0E42">
      <w:pPr>
        <w:spacing w:after="0" w:line="240" w:lineRule="auto"/>
        <w:rPr>
          <w:i/>
          <w:iCs/>
        </w:rPr>
      </w:pPr>
    </w:p>
    <w:p w14:paraId="74E3F1AA" w14:textId="59A91E1C" w:rsidR="006F0050" w:rsidRDefault="00B261D1" w:rsidP="001C0E42">
      <w:pPr>
        <w:pStyle w:val="ListParagraph"/>
        <w:numPr>
          <w:ilvl w:val="0"/>
          <w:numId w:val="1"/>
        </w:numPr>
        <w:spacing w:after="0" w:line="240" w:lineRule="auto"/>
      </w:pPr>
      <w:r w:rsidRPr="001C0E42">
        <w:rPr>
          <w:b/>
          <w:bCs/>
        </w:rPr>
        <w:t>Updates</w:t>
      </w:r>
      <w:r>
        <w:tab/>
      </w:r>
      <w:r>
        <w:tab/>
      </w:r>
      <w:r>
        <w:tab/>
      </w:r>
      <w:r>
        <w:tab/>
      </w:r>
      <w:r>
        <w:tab/>
      </w:r>
      <w:r>
        <w:tab/>
      </w:r>
      <w:r>
        <w:tab/>
      </w:r>
      <w:r>
        <w:tab/>
      </w:r>
      <w:r>
        <w:tab/>
        <w:t>15 minutes</w:t>
      </w:r>
    </w:p>
    <w:p w14:paraId="14680065" w14:textId="0E42AB21" w:rsidR="006F0050" w:rsidRPr="001C0E42" w:rsidRDefault="006F0050" w:rsidP="001C0E42">
      <w:pPr>
        <w:pStyle w:val="ListParagraph"/>
        <w:numPr>
          <w:ilvl w:val="1"/>
          <w:numId w:val="1"/>
        </w:numPr>
        <w:spacing w:after="0" w:line="240" w:lineRule="auto"/>
        <w:rPr>
          <w:b/>
          <w:bCs/>
        </w:rPr>
      </w:pPr>
      <w:r w:rsidRPr="001C0E42">
        <w:rPr>
          <w:b/>
          <w:bCs/>
        </w:rPr>
        <w:t>Metro HCV waitlist opening</w:t>
      </w:r>
    </w:p>
    <w:p w14:paraId="145B3C35" w14:textId="77777777" w:rsidR="001C0E42" w:rsidRDefault="001C0E42" w:rsidP="001C0E42">
      <w:pPr>
        <w:spacing w:after="0" w:line="240" w:lineRule="auto"/>
        <w:jc w:val="both"/>
      </w:pPr>
    </w:p>
    <w:p w14:paraId="2EABCD9B" w14:textId="6A532FBC" w:rsidR="001C0E42" w:rsidRDefault="001C0E42" w:rsidP="001C0E42">
      <w:pPr>
        <w:spacing w:after="0" w:line="240" w:lineRule="auto"/>
        <w:jc w:val="both"/>
      </w:pPr>
      <w:r>
        <w:t xml:space="preserve">Flyer outlining this waitlist opening </w:t>
      </w:r>
      <w:hyperlink r:id="rId10" w:history="1">
        <w:r w:rsidRPr="001C0E42">
          <w:rPr>
            <w:rStyle w:val="Hyperlink"/>
          </w:rPr>
          <w:t>can be accessed here</w:t>
        </w:r>
      </w:hyperlink>
      <w:r>
        <w:t xml:space="preserve"> </w:t>
      </w:r>
    </w:p>
    <w:p w14:paraId="198A9C86" w14:textId="39EEC873" w:rsidR="001C0E42" w:rsidRDefault="001C0E42" w:rsidP="001C0E42">
      <w:pPr>
        <w:spacing w:after="0" w:line="240" w:lineRule="auto"/>
        <w:jc w:val="both"/>
      </w:pPr>
      <w:r>
        <w:t xml:space="preserve">Jamie noted the reality that many voucher recipients are seeking housing options and are often struggling to find housing opportunities resulting in returned vouchers. Unsure whether Metro HRA is implementing supplemental strategies to support voucher recipients identify and find options that would work with the subsidized housing programming. </w:t>
      </w:r>
    </w:p>
    <w:p w14:paraId="188CAB30" w14:textId="2E4351F9" w:rsidR="001C0E42" w:rsidRDefault="001C0E42" w:rsidP="001C0E42">
      <w:pPr>
        <w:spacing w:after="0" w:line="240" w:lineRule="auto"/>
        <w:jc w:val="both"/>
      </w:pPr>
      <w:r>
        <w:t xml:space="preserve">May be worthwhile for the CoC to determine whether there are opportunities to advocate to local officials or County entities to support implementing policies and strategies that require more consideration to voucher recipients in their tenancy screening practices. </w:t>
      </w:r>
    </w:p>
    <w:p w14:paraId="67AC9246" w14:textId="73C0FB9C" w:rsidR="001C0E42" w:rsidRDefault="001C0E42" w:rsidP="001C0E42">
      <w:pPr>
        <w:spacing w:after="0" w:line="240" w:lineRule="auto"/>
        <w:jc w:val="both"/>
      </w:pPr>
      <w:r>
        <w:t xml:space="preserve">Tracking issuance and reviews of denials to seek the strategies that will better allow for voucher recipients to receive housing choice. </w:t>
      </w:r>
    </w:p>
    <w:p w14:paraId="4D819532" w14:textId="60249732" w:rsidR="001C0E42" w:rsidRDefault="001C0E42" w:rsidP="001C0E42">
      <w:pPr>
        <w:spacing w:after="0" w:line="240" w:lineRule="auto"/>
        <w:jc w:val="both"/>
      </w:pPr>
      <w:r>
        <w:t xml:space="preserve">Discussed the utilization rates, the issuance rates and how HUD provides funding to respective Voucher Administrators to further support increasing services to those searching for housing. </w:t>
      </w:r>
    </w:p>
    <w:p w14:paraId="30E936F8" w14:textId="0B2168DE" w:rsidR="001C0E42" w:rsidRDefault="001C0E42" w:rsidP="001C0E42">
      <w:pPr>
        <w:spacing w:after="0" w:line="240" w:lineRule="auto"/>
        <w:jc w:val="both"/>
      </w:pPr>
      <w:r>
        <w:t xml:space="preserve">Will follow up with Metro HRA to learn more about their strategies and how we can partner to raise awareness of the experiences of those struggling to identify housing options with vouchers. </w:t>
      </w:r>
    </w:p>
    <w:p w14:paraId="1BC0B530" w14:textId="77777777" w:rsidR="001C0E42" w:rsidRDefault="001C0E42" w:rsidP="001C0E42">
      <w:pPr>
        <w:spacing w:after="0" w:line="240" w:lineRule="auto"/>
        <w:jc w:val="both"/>
      </w:pPr>
    </w:p>
    <w:p w14:paraId="5A8B8810" w14:textId="1EA11285" w:rsidR="00243434" w:rsidRPr="001C0E42" w:rsidRDefault="00B261D1" w:rsidP="001C0E42">
      <w:pPr>
        <w:pStyle w:val="ListParagraph"/>
        <w:numPr>
          <w:ilvl w:val="1"/>
          <w:numId w:val="1"/>
        </w:numPr>
        <w:spacing w:after="0" w:line="240" w:lineRule="auto"/>
        <w:rPr>
          <w:b/>
          <w:bCs/>
        </w:rPr>
      </w:pPr>
      <w:r w:rsidRPr="001C0E42">
        <w:rPr>
          <w:b/>
          <w:bCs/>
        </w:rPr>
        <w:t>CoC Coordinator staffing</w:t>
      </w:r>
    </w:p>
    <w:p w14:paraId="01BAA1F7" w14:textId="77777777" w:rsidR="001C0E42" w:rsidRDefault="001C0E42" w:rsidP="001C0E42">
      <w:pPr>
        <w:spacing w:after="0" w:line="240" w:lineRule="auto"/>
        <w:jc w:val="both"/>
      </w:pPr>
    </w:p>
    <w:p w14:paraId="245032B0" w14:textId="4AF3B02E" w:rsidR="001C0E42" w:rsidRDefault="001C0E42" w:rsidP="001C0E42">
      <w:pPr>
        <w:spacing w:after="0" w:line="240" w:lineRule="auto"/>
        <w:jc w:val="both"/>
      </w:pPr>
      <w:r>
        <w:t xml:space="preserve">Thanks to the Search Committee! They reviewed 14 applicants and assisted in interviewing and determining whom would be the best fit. Identified that there were some really strong candidates that would each bring unique and new ideas to the role. </w:t>
      </w:r>
    </w:p>
    <w:p w14:paraId="1437B569" w14:textId="2FB50DCD" w:rsidR="001C0E42" w:rsidRDefault="001C0E42" w:rsidP="001C0E42">
      <w:pPr>
        <w:spacing w:after="0" w:line="240" w:lineRule="auto"/>
        <w:jc w:val="both"/>
      </w:pPr>
      <w:r>
        <w:t>Very excited to announce that Laquita Love-Limo will be stepping in as our next Coordinator – she will be starting on July 11</w:t>
      </w:r>
      <w:r w:rsidRPr="001C0E42">
        <w:rPr>
          <w:vertAlign w:val="superscript"/>
        </w:rPr>
        <w:t>th</w:t>
      </w:r>
      <w:r>
        <w:t xml:space="preserve">. She has experience working alongside SMAC through our Governing Board, Director’s Council, and other committees. We’re excited for what she’ll bring to our communities as the Coordinator and believe that she’ll be a strong addition to the work that we’re collectively seeking to do. </w:t>
      </w:r>
    </w:p>
    <w:p w14:paraId="5F7261E7" w14:textId="6FE43E9E" w:rsidR="001C0E42" w:rsidRDefault="001C0E42" w:rsidP="001C0E42">
      <w:pPr>
        <w:spacing w:after="0" w:line="240" w:lineRule="auto"/>
        <w:jc w:val="both"/>
      </w:pPr>
      <w:r>
        <w:t xml:space="preserve">Noted that there will be opportunities for growing and supporting Grant Writing skills, especially heading into this year’s NOFO. Also noted that it feels likely that some of the candidates for the CoC position may be a conceivable fit for the upcoming vacancy in our CE Planner role. </w:t>
      </w:r>
    </w:p>
    <w:p w14:paraId="224334F4" w14:textId="77777777" w:rsidR="001C0E42" w:rsidRDefault="001C0E42" w:rsidP="001C0E42">
      <w:pPr>
        <w:spacing w:after="0" w:line="240" w:lineRule="auto"/>
        <w:jc w:val="both"/>
      </w:pPr>
    </w:p>
    <w:p w14:paraId="4E365EC7" w14:textId="2F75A134" w:rsidR="00243434" w:rsidRPr="001C0E42" w:rsidRDefault="00243434" w:rsidP="001C0E42">
      <w:pPr>
        <w:pStyle w:val="ListParagraph"/>
        <w:numPr>
          <w:ilvl w:val="1"/>
          <w:numId w:val="1"/>
        </w:numPr>
        <w:spacing w:after="0" w:line="240" w:lineRule="auto"/>
        <w:rPr>
          <w:b/>
          <w:bCs/>
        </w:rPr>
      </w:pPr>
      <w:r w:rsidRPr="001C0E42">
        <w:rPr>
          <w:b/>
          <w:bCs/>
        </w:rPr>
        <w:t>CE staffing</w:t>
      </w:r>
    </w:p>
    <w:p w14:paraId="1FFCAD1E" w14:textId="77777777" w:rsidR="001C0E42" w:rsidRDefault="001C0E42" w:rsidP="001C0E42">
      <w:pPr>
        <w:spacing w:after="0" w:line="240" w:lineRule="auto"/>
        <w:jc w:val="both"/>
      </w:pPr>
    </w:p>
    <w:p w14:paraId="4EB610B8" w14:textId="0753414C" w:rsidR="001C0E42" w:rsidRDefault="001C0E42" w:rsidP="001C0E42">
      <w:pPr>
        <w:spacing w:after="0" w:line="240" w:lineRule="auto"/>
        <w:jc w:val="both"/>
      </w:pPr>
      <w:r>
        <w:t>Alyssa has accepted a position with Guild as a Program Manager for their Coordinated Services team and will be transitioning into this role on July 8</w:t>
      </w:r>
      <w:r w:rsidRPr="001C0E42">
        <w:rPr>
          <w:vertAlign w:val="superscript"/>
        </w:rPr>
        <w:t>th</w:t>
      </w:r>
      <w:r>
        <w:t>. This will be her last Governing Board meeting.</w:t>
      </w:r>
    </w:p>
    <w:p w14:paraId="67E26009" w14:textId="3B8A2DB1" w:rsidR="006F0050" w:rsidRDefault="001C0E42" w:rsidP="001C0E42">
      <w:pPr>
        <w:spacing w:after="0" w:line="240" w:lineRule="auto"/>
        <w:jc w:val="both"/>
      </w:pPr>
      <w:r>
        <w:t xml:space="preserve">Still in process of transitioning the position from Hearth to MESH. MESH will be able to post as soon as the job description is finalized. Attempting to make this as quick and seamless as possible. </w:t>
      </w:r>
    </w:p>
    <w:p w14:paraId="3F07B851" w14:textId="77777777" w:rsidR="001C0E42" w:rsidRDefault="001C0E42" w:rsidP="001C0E42">
      <w:pPr>
        <w:spacing w:after="0" w:line="240" w:lineRule="auto"/>
        <w:jc w:val="both"/>
      </w:pPr>
    </w:p>
    <w:p w14:paraId="10AD05F9" w14:textId="12388125" w:rsidR="001C0E42" w:rsidRDefault="006F0050" w:rsidP="001C0E42">
      <w:pPr>
        <w:pStyle w:val="ListParagraph"/>
        <w:numPr>
          <w:ilvl w:val="0"/>
          <w:numId w:val="1"/>
        </w:numPr>
        <w:spacing w:after="0" w:line="240" w:lineRule="auto"/>
      </w:pPr>
      <w:r w:rsidRPr="001C0E42">
        <w:rPr>
          <w:b/>
          <w:bCs/>
        </w:rPr>
        <w:t>2022 NOFO Score Tool</w:t>
      </w:r>
      <w:r w:rsidRPr="001C0E42">
        <w:rPr>
          <w:b/>
          <w:bCs/>
        </w:rPr>
        <w:tab/>
      </w:r>
      <w:r>
        <w:tab/>
      </w:r>
      <w:r>
        <w:tab/>
        <w:t xml:space="preserve"> </w:t>
      </w:r>
      <w:r>
        <w:tab/>
      </w:r>
      <w:r>
        <w:tab/>
      </w:r>
      <w:r>
        <w:tab/>
      </w:r>
      <w:r>
        <w:tab/>
      </w:r>
      <w:r>
        <w:tab/>
        <w:t>20 minutes</w:t>
      </w:r>
    </w:p>
    <w:p w14:paraId="6A8195E7" w14:textId="0C576AE8" w:rsidR="006F0050" w:rsidRPr="001C0E42" w:rsidRDefault="006F0050" w:rsidP="001C0E42">
      <w:pPr>
        <w:pStyle w:val="ListParagraph"/>
        <w:numPr>
          <w:ilvl w:val="1"/>
          <w:numId w:val="1"/>
        </w:numPr>
        <w:spacing w:after="0" w:line="240" w:lineRule="auto"/>
        <w:rPr>
          <w:b/>
          <w:bCs/>
        </w:rPr>
      </w:pPr>
      <w:r w:rsidRPr="001C0E42">
        <w:rPr>
          <w:b/>
          <w:bCs/>
        </w:rPr>
        <w:t>Discussion about adding Racial Equity component</w:t>
      </w:r>
    </w:p>
    <w:p w14:paraId="7A9C4C5E" w14:textId="77777777" w:rsidR="001C0E42" w:rsidRDefault="001C0E42" w:rsidP="001C0E42">
      <w:pPr>
        <w:spacing w:after="0" w:line="240" w:lineRule="auto"/>
        <w:jc w:val="both"/>
      </w:pPr>
    </w:p>
    <w:p w14:paraId="3B005661" w14:textId="58CAE411" w:rsidR="001C0E42" w:rsidRDefault="001C0E42" w:rsidP="001C0E42">
      <w:pPr>
        <w:spacing w:after="0" w:line="240" w:lineRule="auto"/>
        <w:jc w:val="both"/>
      </w:pPr>
      <w:r>
        <w:t xml:space="preserve">HUD requires renewal applications to be ranked via a scoring tool that includes objective criteria and system performance criteria. SMAC did agree to maintain the 2021 tool for 2022. </w:t>
      </w:r>
    </w:p>
    <w:p w14:paraId="3B508E93" w14:textId="285C163E" w:rsidR="001C0E42" w:rsidRDefault="001C0E42" w:rsidP="001C0E42">
      <w:pPr>
        <w:spacing w:after="0" w:line="240" w:lineRule="auto"/>
        <w:jc w:val="both"/>
      </w:pPr>
      <w:r w:rsidRPr="001C0E42">
        <w:lastRenderedPageBreak/>
        <w:t>Concern</w:t>
      </w:r>
      <w:r>
        <w:t xml:space="preserve"> that the 2021 NOFO included a requirement to rank based on the degree to which program participants mirror the homeless population demographics from a region. Anticipating that we’ll need to strengthen how we review and keep track of this for future NOFO periods, especially since it’s not currently factored into scoring in the SMAC tool. </w:t>
      </w:r>
    </w:p>
    <w:p w14:paraId="6FCE0FDA" w14:textId="4DF6DF34" w:rsidR="001C0E42" w:rsidRDefault="001C0E42" w:rsidP="001C0E42">
      <w:pPr>
        <w:spacing w:after="0" w:line="240" w:lineRule="auto"/>
        <w:jc w:val="both"/>
      </w:pPr>
      <w:r>
        <w:t>We do have a bit of a foundation to build upon as open-ended questions related to addressing equity were included in the Renewal Project Applicant Packet in 2021.</w:t>
      </w:r>
    </w:p>
    <w:p w14:paraId="5508CC57" w14:textId="2D2838BC" w:rsidR="001C0E42" w:rsidRDefault="001C0E42" w:rsidP="001C0E42">
      <w:pPr>
        <w:spacing w:after="0" w:line="240" w:lineRule="auto"/>
        <w:jc w:val="both"/>
      </w:pPr>
      <w:r w:rsidRPr="001C0E42">
        <w:rPr>
          <w:i/>
          <w:iCs/>
        </w:rPr>
        <w:t>Recommendation</w:t>
      </w:r>
      <w:r>
        <w:t xml:space="preserve">: Add racial equity measures to the 2022 Project Evaluation Tool. The criteria will be based on the HUD requirements and the questions included in the 2021 Renewal Project Applicant Packet. For 2022, the questions will have no weight (scored out of 0) for the final score. For 2023, the plan will be to adjust the new equity-related criteria based on this years’ experience and fully incorporate them into the tool. </w:t>
      </w:r>
    </w:p>
    <w:p w14:paraId="7B154435" w14:textId="6C1ABE52" w:rsidR="001C0E42" w:rsidRDefault="001C0E42" w:rsidP="001C0E42">
      <w:pPr>
        <w:spacing w:after="0" w:line="240" w:lineRule="auto"/>
        <w:ind w:left="360"/>
        <w:jc w:val="both"/>
      </w:pPr>
      <w:r>
        <w:t xml:space="preserve">Attempt to implement a process that is admittedly not perfect but allows for us to grow from this. By implementing this, it will further allow for SMAC to remain compliant with HUD policies and advance how our programming makes strides towards addressing inequities that exist within our homeless response system. </w:t>
      </w:r>
    </w:p>
    <w:p w14:paraId="72E92CEC" w14:textId="535B61A7" w:rsidR="001C0E42" w:rsidRDefault="001C0E42" w:rsidP="001C0E42">
      <w:pPr>
        <w:spacing w:after="0" w:line="240" w:lineRule="auto"/>
        <w:ind w:left="360"/>
        <w:jc w:val="both"/>
      </w:pPr>
      <w:r>
        <w:t xml:space="preserve">Seeking out some data to help further balance out the tool that we’re using. Does it make sense to authorize the M&amp;E Committee to add criteria that would be included in the tool this year (though not weighted). </w:t>
      </w:r>
    </w:p>
    <w:p w14:paraId="6CDF85E1" w14:textId="7CE05280" w:rsidR="001C0E42" w:rsidRDefault="001C0E42" w:rsidP="001C0E42">
      <w:pPr>
        <w:spacing w:after="0" w:line="240" w:lineRule="auto"/>
        <w:ind w:left="360"/>
        <w:jc w:val="both"/>
      </w:pPr>
      <w:r>
        <w:t xml:space="preserve">Rochelle suggested that we use this as bonus points to projects that are aligning with the benchmarks that we set. Mike explained some of the concern in implementing this as a bonus at this point, namely that it would ultimately result in some projects scoring higher than others.  </w:t>
      </w:r>
    </w:p>
    <w:p w14:paraId="6A80C5D9" w14:textId="196F879A" w:rsidR="001C0E42" w:rsidRDefault="001C0E42" w:rsidP="001C0E42">
      <w:pPr>
        <w:spacing w:after="0" w:line="240" w:lineRule="auto"/>
        <w:ind w:left="360"/>
        <w:jc w:val="both"/>
      </w:pPr>
      <w:r>
        <w:t xml:space="preserve">Betty identified that this what we’ve done in the past and it will give projects a heads up on what’s to come in the future. </w:t>
      </w:r>
    </w:p>
    <w:p w14:paraId="0D8E74EC" w14:textId="416C3E15" w:rsidR="001C0E42" w:rsidRPr="001C0E42" w:rsidRDefault="001C0E42" w:rsidP="001C0E42">
      <w:pPr>
        <w:spacing w:after="0" w:line="240" w:lineRule="auto"/>
        <w:jc w:val="both"/>
        <w:rPr>
          <w:i/>
          <w:iCs/>
        </w:rPr>
      </w:pPr>
      <w:r w:rsidRPr="001C0E42">
        <w:rPr>
          <w:i/>
          <w:iCs/>
        </w:rPr>
        <w:t xml:space="preserve">Jen motioned to approve; Molly seconded the motion. </w:t>
      </w:r>
      <w:r>
        <w:rPr>
          <w:i/>
          <w:iCs/>
        </w:rPr>
        <w:t>Approved</w:t>
      </w:r>
    </w:p>
    <w:p w14:paraId="3E600F5E" w14:textId="77777777" w:rsidR="00077BBC" w:rsidRDefault="00077BBC" w:rsidP="001C0E42">
      <w:pPr>
        <w:pStyle w:val="ListParagraph"/>
        <w:spacing w:after="0" w:line="240" w:lineRule="auto"/>
        <w:ind w:left="1440"/>
      </w:pPr>
    </w:p>
    <w:p w14:paraId="364BDCCD" w14:textId="1162C2AC" w:rsidR="006F0050" w:rsidRDefault="00875090" w:rsidP="001C0E42">
      <w:pPr>
        <w:pStyle w:val="ListParagraph"/>
        <w:numPr>
          <w:ilvl w:val="0"/>
          <w:numId w:val="1"/>
        </w:numPr>
        <w:spacing w:after="0" w:line="240" w:lineRule="auto"/>
      </w:pPr>
      <w:r w:rsidRPr="001C0E42">
        <w:rPr>
          <w:b/>
          <w:bCs/>
        </w:rPr>
        <w:t>NOFO planning updates</w:t>
      </w:r>
      <w:r>
        <w:tab/>
      </w:r>
      <w:r w:rsidR="00077BBC">
        <w:tab/>
      </w:r>
      <w:r w:rsidR="00077BBC">
        <w:tab/>
      </w:r>
      <w:r w:rsidR="00077BBC">
        <w:tab/>
      </w:r>
      <w:r w:rsidR="00077BBC">
        <w:tab/>
      </w:r>
      <w:r w:rsidR="00077BBC">
        <w:tab/>
      </w:r>
      <w:r w:rsidR="00077BBC">
        <w:tab/>
      </w:r>
      <w:r w:rsidR="00401869">
        <w:t>20</w:t>
      </w:r>
      <w:r>
        <w:t xml:space="preserve"> </w:t>
      </w:r>
      <w:r w:rsidR="00077BBC">
        <w:t>minutes</w:t>
      </w:r>
    </w:p>
    <w:p w14:paraId="3CEB6926" w14:textId="44C9E093" w:rsidR="006F0050" w:rsidRPr="001C0E42" w:rsidRDefault="006F0050" w:rsidP="001C0E42">
      <w:pPr>
        <w:pStyle w:val="ListParagraph"/>
        <w:numPr>
          <w:ilvl w:val="1"/>
          <w:numId w:val="1"/>
        </w:numPr>
        <w:spacing w:after="0" w:line="240" w:lineRule="auto"/>
        <w:rPr>
          <w:b/>
          <w:bCs/>
        </w:rPr>
      </w:pPr>
      <w:r w:rsidRPr="001C0E42">
        <w:rPr>
          <w:b/>
          <w:bCs/>
        </w:rPr>
        <w:t>Letter of Intent</w:t>
      </w:r>
    </w:p>
    <w:p w14:paraId="754CD4B6" w14:textId="77777777" w:rsidR="001C0E42" w:rsidRDefault="001C0E42" w:rsidP="001C0E42">
      <w:pPr>
        <w:spacing w:after="0" w:line="240" w:lineRule="auto"/>
        <w:jc w:val="both"/>
      </w:pPr>
    </w:p>
    <w:p w14:paraId="0FB94CC9" w14:textId="63CE1D74" w:rsidR="001C0E42" w:rsidRDefault="001C0E42" w:rsidP="001C0E42">
      <w:pPr>
        <w:spacing w:after="0" w:line="240" w:lineRule="auto"/>
        <w:jc w:val="both"/>
      </w:pPr>
      <w:r>
        <w:t>LOIs will be updated for 2022</w:t>
      </w:r>
    </w:p>
    <w:p w14:paraId="19FF0D56" w14:textId="7A6A871B" w:rsidR="001C0E42" w:rsidRDefault="001C0E42" w:rsidP="001C0E42">
      <w:pPr>
        <w:spacing w:after="0" w:line="240" w:lineRule="auto"/>
        <w:jc w:val="both"/>
      </w:pPr>
      <w:r>
        <w:t>LOIs will be sent by email to grantees; grantees will need to complete the checklist &amp; sign and send back</w:t>
      </w:r>
    </w:p>
    <w:p w14:paraId="643E9153" w14:textId="07FBDBD3" w:rsidR="001C0E42" w:rsidRDefault="001C0E42" w:rsidP="001C0E42">
      <w:pPr>
        <w:spacing w:after="0" w:line="240" w:lineRule="auto"/>
        <w:ind w:left="720"/>
        <w:jc w:val="both"/>
      </w:pPr>
      <w:r>
        <w:t>This will help to determine if there will be any funds that need to be voluntarily reallocated to new projects for 2022</w:t>
      </w:r>
    </w:p>
    <w:p w14:paraId="642CDE6E" w14:textId="6E0BF715" w:rsidR="001C0E42" w:rsidRDefault="001C0E42" w:rsidP="001C0E42">
      <w:pPr>
        <w:spacing w:after="0" w:line="240" w:lineRule="auto"/>
        <w:jc w:val="both"/>
      </w:pPr>
      <w:r>
        <w:t xml:space="preserve">Typically seek to do a 2–3-week timeline for this (starting in August) </w:t>
      </w:r>
    </w:p>
    <w:p w14:paraId="647F8C47" w14:textId="77777777" w:rsidR="001C0E42" w:rsidRDefault="001C0E42" w:rsidP="001C0E42">
      <w:pPr>
        <w:spacing w:after="0" w:line="240" w:lineRule="auto"/>
      </w:pPr>
    </w:p>
    <w:p w14:paraId="1A91F655" w14:textId="5C12C841" w:rsidR="006F0050" w:rsidRDefault="006F0050" w:rsidP="001C0E42">
      <w:pPr>
        <w:pStyle w:val="ListParagraph"/>
        <w:numPr>
          <w:ilvl w:val="1"/>
          <w:numId w:val="1"/>
        </w:numPr>
        <w:spacing w:after="0" w:line="240" w:lineRule="auto"/>
        <w:rPr>
          <w:b/>
          <w:bCs/>
        </w:rPr>
      </w:pPr>
      <w:r w:rsidRPr="001C0E42">
        <w:rPr>
          <w:b/>
          <w:bCs/>
        </w:rPr>
        <w:t>Bonus Funding</w:t>
      </w:r>
      <w:r w:rsidR="00401869" w:rsidRPr="001C0E42">
        <w:rPr>
          <w:b/>
          <w:bCs/>
        </w:rPr>
        <w:t xml:space="preserve"> </w:t>
      </w:r>
    </w:p>
    <w:p w14:paraId="5799478B" w14:textId="77777777" w:rsidR="001C0E42" w:rsidRPr="001C0E42" w:rsidRDefault="001C0E42" w:rsidP="001C0E42">
      <w:pPr>
        <w:pStyle w:val="ListParagraph"/>
        <w:spacing w:after="0" w:line="240" w:lineRule="auto"/>
        <w:ind w:left="1440"/>
        <w:rPr>
          <w:b/>
          <w:bCs/>
        </w:rPr>
      </w:pPr>
    </w:p>
    <w:p w14:paraId="0FAB417F" w14:textId="3263F37F" w:rsidR="001C0E42" w:rsidRDefault="001C0E42" w:rsidP="001C0E42">
      <w:pPr>
        <w:spacing w:after="0" w:line="240" w:lineRule="auto"/>
        <w:jc w:val="both"/>
      </w:pPr>
      <w:r>
        <w:t>Finalize any updates to Ranking and Reallocation Policies</w:t>
      </w:r>
    </w:p>
    <w:p w14:paraId="3F810C47" w14:textId="037687F0" w:rsidR="001C0E42" w:rsidRDefault="001C0E42" w:rsidP="001C0E42">
      <w:pPr>
        <w:spacing w:after="0" w:line="240" w:lineRule="auto"/>
        <w:jc w:val="both"/>
      </w:pPr>
      <w:r>
        <w:t xml:space="preserve">Set priorities for new projects. Recommendations with supporting documents will be released from there. </w:t>
      </w:r>
    </w:p>
    <w:p w14:paraId="7549B343" w14:textId="59DD3977" w:rsidR="001C0E42" w:rsidRDefault="001C0E42" w:rsidP="001C0E42">
      <w:pPr>
        <w:spacing w:after="0" w:line="240" w:lineRule="auto"/>
        <w:jc w:val="both"/>
      </w:pPr>
      <w:r>
        <w:t xml:space="preserve">In 2021, SMAC was eligible to apply for the following to fund new projects: </w:t>
      </w:r>
    </w:p>
    <w:p w14:paraId="16F27F45" w14:textId="253EE323" w:rsidR="001C0E42" w:rsidRDefault="001C0E42" w:rsidP="001C0E42">
      <w:pPr>
        <w:pStyle w:val="ListParagraph"/>
        <w:numPr>
          <w:ilvl w:val="0"/>
          <w:numId w:val="4"/>
        </w:numPr>
        <w:spacing w:after="0" w:line="240" w:lineRule="auto"/>
        <w:jc w:val="both"/>
      </w:pPr>
      <w:r>
        <w:t>Bonus for Permanent Housing - $201,988</w:t>
      </w:r>
    </w:p>
    <w:p w14:paraId="789C69CA" w14:textId="524B298B" w:rsidR="001C0E42" w:rsidRDefault="001C0E42" w:rsidP="001C0E42">
      <w:pPr>
        <w:pStyle w:val="ListParagraph"/>
        <w:numPr>
          <w:ilvl w:val="0"/>
          <w:numId w:val="4"/>
        </w:numPr>
        <w:spacing w:after="0" w:line="240" w:lineRule="auto"/>
        <w:jc w:val="both"/>
      </w:pPr>
      <w:r>
        <w:t>DV Bonus - $433,649</w:t>
      </w:r>
    </w:p>
    <w:p w14:paraId="28859F7A" w14:textId="565CFB25" w:rsidR="001C0E42" w:rsidRDefault="001C0E42" w:rsidP="001C0E42">
      <w:pPr>
        <w:spacing w:after="0" w:line="240" w:lineRule="auto"/>
        <w:jc w:val="both"/>
      </w:pPr>
      <w:r>
        <w:t>2021 Priority was projects that coordinate with a healthcare organization to provide PSH &amp; RRH</w:t>
      </w:r>
    </w:p>
    <w:p w14:paraId="481BA60A" w14:textId="13852EF2" w:rsidR="001C0E42" w:rsidRDefault="001C0E42" w:rsidP="001C0E42">
      <w:pPr>
        <w:spacing w:after="0" w:line="240" w:lineRule="auto"/>
        <w:jc w:val="both"/>
      </w:pPr>
      <w:r>
        <w:t xml:space="preserve">Seeking new projects to apply for funding. We’ll know how much funding will be available and the priorities as the new NOFO is released. </w:t>
      </w:r>
    </w:p>
    <w:p w14:paraId="4682CA42" w14:textId="717711F4" w:rsidR="00EE286A" w:rsidRDefault="009A5E92" w:rsidP="001C0E42">
      <w:pPr>
        <w:pStyle w:val="ListParagraph"/>
        <w:spacing w:after="0" w:line="240" w:lineRule="auto"/>
        <w:ind w:left="1440"/>
      </w:pPr>
      <w:r>
        <w:tab/>
      </w:r>
      <w:r>
        <w:tab/>
      </w:r>
      <w:r>
        <w:tab/>
      </w:r>
      <w:r>
        <w:tab/>
      </w:r>
    </w:p>
    <w:p w14:paraId="180A58ED" w14:textId="3A6A28D2" w:rsidR="00EE286A" w:rsidRDefault="009607AC" w:rsidP="001C0E42">
      <w:pPr>
        <w:pStyle w:val="ListParagraph"/>
        <w:numPr>
          <w:ilvl w:val="0"/>
          <w:numId w:val="1"/>
        </w:numPr>
        <w:spacing w:after="0" w:line="240" w:lineRule="auto"/>
      </w:pPr>
      <w:r w:rsidRPr="001C0E42">
        <w:rPr>
          <w:b/>
          <w:bCs/>
        </w:rPr>
        <w:t>MHFA proposed properties</w:t>
      </w:r>
      <w:r w:rsidR="00B41BEA">
        <w:tab/>
      </w:r>
      <w:r>
        <w:tab/>
      </w:r>
      <w:r>
        <w:tab/>
        <w:t>*Vote Required</w:t>
      </w:r>
      <w:r w:rsidR="00EE286A">
        <w:tab/>
      </w:r>
      <w:r>
        <w:tab/>
      </w:r>
      <w:r>
        <w:tab/>
      </w:r>
      <w:r w:rsidR="00401869">
        <w:t>30</w:t>
      </w:r>
      <w:r w:rsidR="00EE286A">
        <w:t xml:space="preserve"> minutes</w:t>
      </w:r>
    </w:p>
    <w:p w14:paraId="11C42D56" w14:textId="7766AA64" w:rsidR="00EE286A" w:rsidRPr="001C0E42" w:rsidRDefault="009607AC" w:rsidP="001C0E42">
      <w:pPr>
        <w:pStyle w:val="ListParagraph"/>
        <w:numPr>
          <w:ilvl w:val="1"/>
          <w:numId w:val="1"/>
        </w:numPr>
        <w:spacing w:after="0" w:line="240" w:lineRule="auto"/>
        <w:rPr>
          <w:b/>
          <w:bCs/>
        </w:rPr>
      </w:pPr>
      <w:r w:rsidRPr="001C0E42">
        <w:rPr>
          <w:b/>
          <w:bCs/>
        </w:rPr>
        <w:t>Heading Home reps provide overview of approved projects</w:t>
      </w:r>
    </w:p>
    <w:p w14:paraId="596C188B" w14:textId="77777777" w:rsidR="001C0E42" w:rsidRDefault="001C0E42" w:rsidP="001C0E42">
      <w:pPr>
        <w:spacing w:after="0" w:line="240" w:lineRule="auto"/>
      </w:pPr>
    </w:p>
    <w:p w14:paraId="38A3AC2C" w14:textId="0605CC56" w:rsidR="001C0E42" w:rsidRDefault="001C0E42" w:rsidP="001C0E42">
      <w:pPr>
        <w:spacing w:after="0" w:line="240" w:lineRule="auto"/>
      </w:pPr>
      <w:r w:rsidRPr="001C0E42">
        <w:rPr>
          <w:highlight w:val="yellow"/>
        </w:rPr>
        <w:t>Anoka County</w:t>
      </w:r>
      <w:r>
        <w:t>: 1 Project (</w:t>
      </w:r>
      <w:proofErr w:type="spellStart"/>
      <w:r w:rsidRPr="001C0E42">
        <w:rPr>
          <w:i/>
          <w:iCs/>
        </w:rPr>
        <w:t>Restwood</w:t>
      </w:r>
      <w:proofErr w:type="spellEnd"/>
      <w:r w:rsidRPr="001C0E42">
        <w:rPr>
          <w:i/>
          <w:iCs/>
        </w:rPr>
        <w:t xml:space="preserve"> Lofts</w:t>
      </w:r>
      <w:r>
        <w:t>)</w:t>
      </w:r>
    </w:p>
    <w:p w14:paraId="0A0C3644" w14:textId="77777777" w:rsidR="001C0E42" w:rsidRDefault="001C0E42" w:rsidP="001C0E42">
      <w:pPr>
        <w:shd w:val="clear" w:color="auto" w:fill="FFFFFF"/>
        <w:ind w:left="720"/>
        <w:contextualSpacing/>
        <w:jc w:val="both"/>
        <w:rPr>
          <w:rFonts w:eastAsia="Times New Roman" w:cstheme="minorHAnsi"/>
          <w:color w:val="222222"/>
        </w:rPr>
      </w:pPr>
      <w:r>
        <w:rPr>
          <w:rFonts w:eastAsia="Times New Roman" w:cstheme="minorHAnsi"/>
          <w:color w:val="222222"/>
        </w:rPr>
        <w:t xml:space="preserve">Property Location:  3795 </w:t>
      </w:r>
      <w:proofErr w:type="spellStart"/>
      <w:r>
        <w:rPr>
          <w:rFonts w:eastAsia="Times New Roman" w:cstheme="minorHAnsi"/>
          <w:color w:val="222222"/>
        </w:rPr>
        <w:t>Restwood</w:t>
      </w:r>
      <w:proofErr w:type="spellEnd"/>
      <w:r>
        <w:rPr>
          <w:rFonts w:eastAsia="Times New Roman" w:cstheme="minorHAnsi"/>
          <w:color w:val="222222"/>
        </w:rPr>
        <w:t xml:space="preserve"> Road, Blaine MN 55014</w:t>
      </w:r>
    </w:p>
    <w:p w14:paraId="118A76DE" w14:textId="77777777" w:rsidR="001C0E42" w:rsidRDefault="001C0E42" w:rsidP="001C0E42">
      <w:pPr>
        <w:shd w:val="clear" w:color="auto" w:fill="FFFFFF"/>
        <w:ind w:left="720"/>
        <w:contextualSpacing/>
        <w:jc w:val="both"/>
        <w:rPr>
          <w:rFonts w:eastAsia="Times New Roman" w:cstheme="minorHAnsi"/>
          <w:color w:val="222222"/>
        </w:rPr>
      </w:pPr>
      <w:r>
        <w:rPr>
          <w:rFonts w:eastAsia="Times New Roman" w:cstheme="minorHAnsi"/>
          <w:color w:val="222222"/>
        </w:rPr>
        <w:t xml:space="preserve">Developer: MWF Properties  </w:t>
      </w:r>
    </w:p>
    <w:p w14:paraId="657C67E1" w14:textId="7F4E8796" w:rsidR="001C0E42" w:rsidRDefault="001C0E42" w:rsidP="001C0E42">
      <w:pPr>
        <w:shd w:val="clear" w:color="auto" w:fill="FFFFFF"/>
        <w:ind w:left="720"/>
        <w:contextualSpacing/>
        <w:jc w:val="both"/>
        <w:rPr>
          <w:rFonts w:eastAsia="Times New Roman" w:cstheme="minorHAnsi"/>
          <w:color w:val="222222"/>
        </w:rPr>
      </w:pPr>
      <w:r>
        <w:rPr>
          <w:rFonts w:eastAsia="Times New Roman" w:cstheme="minorHAnsi"/>
          <w:color w:val="222222"/>
        </w:rPr>
        <w:t xml:space="preserve">Supportive Housing Provider: Mn Care Counseling Services </w:t>
      </w:r>
    </w:p>
    <w:p w14:paraId="02B48E3E" w14:textId="11C36691" w:rsidR="001C0E42" w:rsidRDefault="001C0E42" w:rsidP="001C0E42">
      <w:pPr>
        <w:shd w:val="clear" w:color="auto" w:fill="FFFFFF"/>
        <w:ind w:left="720"/>
        <w:contextualSpacing/>
        <w:jc w:val="both"/>
        <w:rPr>
          <w:rFonts w:eastAsia="Times New Roman" w:cstheme="minorHAnsi"/>
          <w:color w:val="222222"/>
        </w:rPr>
      </w:pPr>
    </w:p>
    <w:p w14:paraId="104284D9" w14:textId="77777777" w:rsidR="001C0E42" w:rsidRDefault="001C0E42" w:rsidP="001C0E42">
      <w:pPr>
        <w:shd w:val="clear" w:color="auto" w:fill="FFFFFF"/>
        <w:ind w:left="720"/>
        <w:contextualSpacing/>
        <w:jc w:val="both"/>
        <w:rPr>
          <w:rFonts w:eastAsia="Times New Roman" w:cstheme="minorHAnsi"/>
          <w:color w:val="222222"/>
        </w:rPr>
      </w:pPr>
    </w:p>
    <w:p w14:paraId="1171F70B" w14:textId="77777777" w:rsidR="001C0E42" w:rsidRPr="001C0E42" w:rsidRDefault="001C0E42" w:rsidP="001C0E42">
      <w:pPr>
        <w:shd w:val="clear" w:color="auto" w:fill="FFFFFF"/>
        <w:ind w:left="720"/>
        <w:contextualSpacing/>
        <w:jc w:val="both"/>
        <w:rPr>
          <w:rFonts w:eastAsia="Times New Roman" w:cstheme="minorHAnsi"/>
          <w:color w:val="222222"/>
        </w:rPr>
      </w:pPr>
    </w:p>
    <w:tbl>
      <w:tblPr>
        <w:tblW w:w="0" w:type="auto"/>
        <w:jc w:val="center"/>
        <w:tblCellMar>
          <w:left w:w="0" w:type="dxa"/>
          <w:right w:w="0" w:type="dxa"/>
        </w:tblCellMar>
        <w:tblLook w:val="04A0" w:firstRow="1" w:lastRow="0" w:firstColumn="1" w:lastColumn="0" w:noHBand="0" w:noVBand="1"/>
      </w:tblPr>
      <w:tblGrid>
        <w:gridCol w:w="2073"/>
        <w:gridCol w:w="2073"/>
        <w:gridCol w:w="2073"/>
      </w:tblGrid>
      <w:tr w:rsidR="001C0E42" w14:paraId="373CEDAA" w14:textId="77777777" w:rsidTr="002C1F76">
        <w:trPr>
          <w:jc w:val="center"/>
        </w:trPr>
        <w:tc>
          <w:tcPr>
            <w:tcW w:w="2073"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0AA0F88" w14:textId="77777777" w:rsidR="001C0E42" w:rsidRPr="001C0E42" w:rsidRDefault="001C0E42" w:rsidP="001C0E42">
            <w:pPr>
              <w:spacing w:after="0" w:line="240" w:lineRule="auto"/>
              <w:jc w:val="center"/>
              <w:rPr>
                <w:b/>
                <w:bCs/>
                <w:color w:val="222222"/>
                <w:sz w:val="20"/>
                <w:szCs w:val="20"/>
                <w:lang w:eastAsia="ja-JP"/>
              </w:rPr>
            </w:pPr>
            <w:r w:rsidRPr="001C0E42">
              <w:rPr>
                <w:b/>
                <w:bCs/>
                <w:color w:val="222222"/>
                <w:sz w:val="20"/>
                <w:szCs w:val="20"/>
                <w:lang w:eastAsia="ja-JP"/>
              </w:rPr>
              <w:lastRenderedPageBreak/>
              <w:t>Unit Type (1-4)</w:t>
            </w:r>
          </w:p>
        </w:tc>
        <w:tc>
          <w:tcPr>
            <w:tcW w:w="2073" w:type="dxa"/>
            <w:tcBorders>
              <w:top w:val="single" w:sz="8" w:space="0" w:color="auto"/>
              <w:left w:val="single" w:sz="8" w:space="0" w:color="auto"/>
              <w:bottom w:val="single" w:sz="8" w:space="0" w:color="auto"/>
              <w:right w:val="single" w:sz="8" w:space="0" w:color="auto"/>
            </w:tcBorders>
            <w:shd w:val="clear" w:color="auto" w:fill="E7E6E6"/>
          </w:tcPr>
          <w:p w14:paraId="4722CAB8" w14:textId="77777777" w:rsidR="001C0E42" w:rsidRPr="001C0E42" w:rsidRDefault="001C0E42" w:rsidP="001C0E42">
            <w:pPr>
              <w:spacing w:after="0" w:line="240" w:lineRule="auto"/>
              <w:jc w:val="center"/>
              <w:rPr>
                <w:b/>
                <w:bCs/>
                <w:color w:val="222222"/>
                <w:sz w:val="20"/>
                <w:szCs w:val="20"/>
                <w:lang w:eastAsia="ja-JP"/>
              </w:rPr>
            </w:pPr>
            <w:r w:rsidRPr="001C0E42">
              <w:rPr>
                <w:sz w:val="20"/>
                <w:szCs w:val="20"/>
              </w:rPr>
              <w:t xml:space="preserve"># </w:t>
            </w:r>
            <w:proofErr w:type="gramStart"/>
            <w:r w:rsidRPr="001C0E42">
              <w:rPr>
                <w:sz w:val="20"/>
                <w:szCs w:val="20"/>
              </w:rPr>
              <w:t>of</w:t>
            </w:r>
            <w:proofErr w:type="gramEnd"/>
            <w:r w:rsidRPr="001C0E42">
              <w:rPr>
                <w:sz w:val="20"/>
                <w:szCs w:val="20"/>
              </w:rPr>
              <w:t xml:space="preserve"> Units</w:t>
            </w:r>
          </w:p>
        </w:tc>
        <w:tc>
          <w:tcPr>
            <w:tcW w:w="2073" w:type="dxa"/>
            <w:tcBorders>
              <w:top w:val="single" w:sz="8" w:space="0" w:color="auto"/>
              <w:left w:val="single" w:sz="8" w:space="0" w:color="auto"/>
              <w:bottom w:val="single" w:sz="8" w:space="0" w:color="auto"/>
              <w:right w:val="single" w:sz="8" w:space="0" w:color="auto"/>
            </w:tcBorders>
            <w:shd w:val="clear" w:color="auto" w:fill="E7E6E6"/>
          </w:tcPr>
          <w:p w14:paraId="1CC7C77E" w14:textId="77777777" w:rsidR="001C0E42" w:rsidRPr="001C0E42" w:rsidRDefault="001C0E42" w:rsidP="001C0E42">
            <w:pPr>
              <w:spacing w:after="0" w:line="240" w:lineRule="auto"/>
              <w:jc w:val="center"/>
              <w:rPr>
                <w:b/>
                <w:bCs/>
                <w:color w:val="222222"/>
                <w:sz w:val="20"/>
                <w:szCs w:val="20"/>
                <w:lang w:eastAsia="ja-JP"/>
              </w:rPr>
            </w:pPr>
            <w:r w:rsidRPr="001C0E42">
              <w:rPr>
                <w:sz w:val="20"/>
                <w:szCs w:val="20"/>
              </w:rPr>
              <w:t>Income Levels (HPH/PWD/AMI)</w:t>
            </w:r>
          </w:p>
        </w:tc>
      </w:tr>
      <w:tr w:rsidR="001C0E42" w14:paraId="01B7BA01" w14:textId="77777777" w:rsidTr="002C1F76">
        <w:trPr>
          <w:jc w:val="center"/>
        </w:trPr>
        <w:tc>
          <w:tcPr>
            <w:tcW w:w="2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651C6" w14:textId="77777777" w:rsidR="001C0E42" w:rsidRPr="001C0E42" w:rsidRDefault="001C0E42" w:rsidP="001C0E42">
            <w:pPr>
              <w:spacing w:after="0" w:line="240" w:lineRule="auto"/>
              <w:jc w:val="center"/>
              <w:rPr>
                <w:color w:val="222222"/>
                <w:sz w:val="20"/>
                <w:szCs w:val="20"/>
                <w:lang w:eastAsia="ja-JP"/>
              </w:rPr>
            </w:pPr>
            <w:r w:rsidRPr="001C0E42">
              <w:rPr>
                <w:color w:val="222222"/>
                <w:sz w:val="20"/>
                <w:szCs w:val="20"/>
                <w:lang w:eastAsia="ja-JP"/>
              </w:rPr>
              <w:t>1</w:t>
            </w:r>
            <w:r w:rsidRPr="001C0E42">
              <w:rPr>
                <w:sz w:val="20"/>
                <w:szCs w:val="20"/>
                <w:lang w:eastAsia="ja-JP"/>
              </w:rPr>
              <w:t xml:space="preserve"> BR</w:t>
            </w:r>
          </w:p>
        </w:tc>
        <w:tc>
          <w:tcPr>
            <w:tcW w:w="2073" w:type="dxa"/>
            <w:tcBorders>
              <w:top w:val="nil"/>
              <w:left w:val="single" w:sz="8" w:space="0" w:color="auto"/>
              <w:bottom w:val="single" w:sz="8" w:space="0" w:color="auto"/>
              <w:right w:val="single" w:sz="8" w:space="0" w:color="auto"/>
            </w:tcBorders>
          </w:tcPr>
          <w:p w14:paraId="512BE98D" w14:textId="77777777" w:rsidR="001C0E42" w:rsidRPr="001C0E42" w:rsidRDefault="001C0E42" w:rsidP="001C0E42">
            <w:pPr>
              <w:spacing w:after="0" w:line="240" w:lineRule="auto"/>
              <w:jc w:val="center"/>
              <w:rPr>
                <w:color w:val="222222"/>
                <w:sz w:val="20"/>
                <w:szCs w:val="20"/>
                <w:lang w:eastAsia="ja-JP"/>
              </w:rPr>
            </w:pPr>
            <w:r w:rsidRPr="001C0E42">
              <w:rPr>
                <w:sz w:val="20"/>
                <w:szCs w:val="20"/>
              </w:rPr>
              <w:t>3</w:t>
            </w:r>
          </w:p>
        </w:tc>
        <w:tc>
          <w:tcPr>
            <w:tcW w:w="2073" w:type="dxa"/>
            <w:tcBorders>
              <w:top w:val="nil"/>
              <w:left w:val="single" w:sz="8" w:space="0" w:color="auto"/>
              <w:bottom w:val="single" w:sz="8" w:space="0" w:color="auto"/>
              <w:right w:val="single" w:sz="8" w:space="0" w:color="auto"/>
            </w:tcBorders>
          </w:tcPr>
          <w:p w14:paraId="1CABB126" w14:textId="77777777" w:rsidR="001C0E42" w:rsidRPr="001C0E42" w:rsidRDefault="001C0E42" w:rsidP="001C0E42">
            <w:pPr>
              <w:spacing w:after="0" w:line="240" w:lineRule="auto"/>
              <w:jc w:val="center"/>
              <w:rPr>
                <w:color w:val="222222"/>
                <w:sz w:val="20"/>
                <w:szCs w:val="20"/>
                <w:lang w:eastAsia="ja-JP"/>
              </w:rPr>
            </w:pPr>
            <w:r w:rsidRPr="001C0E42">
              <w:rPr>
                <w:sz w:val="20"/>
                <w:szCs w:val="20"/>
              </w:rPr>
              <w:t>HPH</w:t>
            </w:r>
          </w:p>
        </w:tc>
      </w:tr>
      <w:tr w:rsidR="001C0E42" w14:paraId="4B30BC29" w14:textId="77777777" w:rsidTr="002C1F76">
        <w:trPr>
          <w:jc w:val="center"/>
        </w:trPr>
        <w:tc>
          <w:tcPr>
            <w:tcW w:w="2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75883" w14:textId="77777777" w:rsidR="001C0E42" w:rsidRPr="001C0E42" w:rsidRDefault="001C0E42" w:rsidP="001C0E42">
            <w:pPr>
              <w:spacing w:after="0" w:line="240" w:lineRule="auto"/>
              <w:jc w:val="center"/>
              <w:rPr>
                <w:color w:val="222222"/>
                <w:sz w:val="20"/>
                <w:szCs w:val="20"/>
                <w:lang w:eastAsia="ja-JP"/>
              </w:rPr>
            </w:pPr>
            <w:r w:rsidRPr="001C0E42">
              <w:rPr>
                <w:sz w:val="20"/>
                <w:szCs w:val="20"/>
                <w:lang w:eastAsia="ja-JP"/>
              </w:rPr>
              <w:t>1 BR</w:t>
            </w:r>
          </w:p>
        </w:tc>
        <w:tc>
          <w:tcPr>
            <w:tcW w:w="2073" w:type="dxa"/>
            <w:tcBorders>
              <w:top w:val="nil"/>
              <w:left w:val="single" w:sz="8" w:space="0" w:color="auto"/>
              <w:bottom w:val="single" w:sz="8" w:space="0" w:color="auto"/>
              <w:right w:val="single" w:sz="8" w:space="0" w:color="auto"/>
            </w:tcBorders>
          </w:tcPr>
          <w:p w14:paraId="17BB4A26" w14:textId="77777777" w:rsidR="001C0E42" w:rsidRPr="001C0E42" w:rsidRDefault="001C0E42" w:rsidP="001C0E42">
            <w:pPr>
              <w:spacing w:after="0" w:line="240" w:lineRule="auto"/>
              <w:jc w:val="center"/>
              <w:rPr>
                <w:sz w:val="20"/>
                <w:szCs w:val="20"/>
                <w:lang w:eastAsia="ja-JP"/>
              </w:rPr>
            </w:pPr>
            <w:r w:rsidRPr="001C0E42">
              <w:rPr>
                <w:sz w:val="20"/>
                <w:szCs w:val="20"/>
              </w:rPr>
              <w:t>5</w:t>
            </w:r>
          </w:p>
        </w:tc>
        <w:tc>
          <w:tcPr>
            <w:tcW w:w="2073" w:type="dxa"/>
            <w:tcBorders>
              <w:top w:val="nil"/>
              <w:left w:val="single" w:sz="8" w:space="0" w:color="auto"/>
              <w:bottom w:val="single" w:sz="8" w:space="0" w:color="auto"/>
              <w:right w:val="single" w:sz="8" w:space="0" w:color="auto"/>
            </w:tcBorders>
          </w:tcPr>
          <w:p w14:paraId="071852E4" w14:textId="77777777" w:rsidR="001C0E42" w:rsidRPr="001C0E42" w:rsidRDefault="001C0E42" w:rsidP="001C0E42">
            <w:pPr>
              <w:spacing w:after="0" w:line="240" w:lineRule="auto"/>
              <w:jc w:val="center"/>
              <w:rPr>
                <w:sz w:val="20"/>
                <w:szCs w:val="20"/>
                <w:lang w:eastAsia="ja-JP"/>
              </w:rPr>
            </w:pPr>
            <w:r w:rsidRPr="001C0E42">
              <w:rPr>
                <w:sz w:val="20"/>
                <w:szCs w:val="20"/>
              </w:rPr>
              <w:t>PWD – 811</w:t>
            </w:r>
          </w:p>
        </w:tc>
      </w:tr>
      <w:tr w:rsidR="001C0E42" w14:paraId="74040929" w14:textId="77777777" w:rsidTr="002C1F76">
        <w:trPr>
          <w:jc w:val="center"/>
        </w:trPr>
        <w:tc>
          <w:tcPr>
            <w:tcW w:w="2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F47BD" w14:textId="77777777" w:rsidR="001C0E42" w:rsidRPr="001C0E42" w:rsidRDefault="001C0E42" w:rsidP="001C0E42">
            <w:pPr>
              <w:spacing w:after="0" w:line="240" w:lineRule="auto"/>
              <w:jc w:val="center"/>
              <w:rPr>
                <w:color w:val="222222"/>
                <w:sz w:val="20"/>
                <w:szCs w:val="20"/>
                <w:lang w:eastAsia="ja-JP"/>
              </w:rPr>
            </w:pPr>
            <w:r w:rsidRPr="001C0E42">
              <w:rPr>
                <w:sz w:val="20"/>
                <w:szCs w:val="20"/>
                <w:lang w:eastAsia="ja-JP"/>
              </w:rPr>
              <w:t>1 BR</w:t>
            </w:r>
          </w:p>
        </w:tc>
        <w:tc>
          <w:tcPr>
            <w:tcW w:w="2073" w:type="dxa"/>
            <w:tcBorders>
              <w:top w:val="nil"/>
              <w:left w:val="single" w:sz="8" w:space="0" w:color="auto"/>
              <w:bottom w:val="single" w:sz="8" w:space="0" w:color="auto"/>
              <w:right w:val="single" w:sz="8" w:space="0" w:color="auto"/>
            </w:tcBorders>
          </w:tcPr>
          <w:p w14:paraId="0A5FE525" w14:textId="77777777" w:rsidR="001C0E42" w:rsidRPr="001C0E42" w:rsidRDefault="001C0E42" w:rsidP="001C0E42">
            <w:pPr>
              <w:spacing w:after="0" w:line="240" w:lineRule="auto"/>
              <w:jc w:val="center"/>
              <w:rPr>
                <w:sz w:val="20"/>
                <w:szCs w:val="20"/>
                <w:lang w:eastAsia="ja-JP"/>
              </w:rPr>
            </w:pPr>
            <w:r w:rsidRPr="001C0E42">
              <w:rPr>
                <w:sz w:val="20"/>
                <w:szCs w:val="20"/>
              </w:rPr>
              <w:t>4</w:t>
            </w:r>
          </w:p>
        </w:tc>
        <w:tc>
          <w:tcPr>
            <w:tcW w:w="2073" w:type="dxa"/>
            <w:tcBorders>
              <w:top w:val="nil"/>
              <w:left w:val="single" w:sz="8" w:space="0" w:color="auto"/>
              <w:bottom w:val="single" w:sz="8" w:space="0" w:color="auto"/>
              <w:right w:val="single" w:sz="8" w:space="0" w:color="auto"/>
            </w:tcBorders>
          </w:tcPr>
          <w:p w14:paraId="1BE67ADC" w14:textId="77777777" w:rsidR="001C0E42" w:rsidRPr="001C0E42" w:rsidRDefault="001C0E42" w:rsidP="001C0E42">
            <w:pPr>
              <w:spacing w:after="0" w:line="240" w:lineRule="auto"/>
              <w:jc w:val="center"/>
              <w:rPr>
                <w:sz w:val="20"/>
                <w:szCs w:val="20"/>
                <w:lang w:eastAsia="ja-JP"/>
              </w:rPr>
            </w:pPr>
            <w:r w:rsidRPr="001C0E42">
              <w:rPr>
                <w:sz w:val="20"/>
                <w:szCs w:val="20"/>
              </w:rPr>
              <w:t>30%-50% AMI</w:t>
            </w:r>
          </w:p>
        </w:tc>
      </w:tr>
      <w:tr w:rsidR="001C0E42" w14:paraId="6134B7CB" w14:textId="77777777" w:rsidTr="002C1F76">
        <w:trPr>
          <w:jc w:val="center"/>
        </w:trPr>
        <w:tc>
          <w:tcPr>
            <w:tcW w:w="2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04F6C" w14:textId="77777777" w:rsidR="001C0E42" w:rsidRPr="001C0E42" w:rsidRDefault="001C0E42" w:rsidP="001C0E42">
            <w:pPr>
              <w:spacing w:after="0" w:line="240" w:lineRule="auto"/>
              <w:jc w:val="center"/>
              <w:rPr>
                <w:color w:val="222222"/>
                <w:sz w:val="20"/>
                <w:szCs w:val="20"/>
                <w:lang w:eastAsia="ja-JP"/>
              </w:rPr>
            </w:pPr>
            <w:r w:rsidRPr="001C0E42">
              <w:rPr>
                <w:sz w:val="20"/>
                <w:szCs w:val="20"/>
                <w:lang w:eastAsia="ja-JP"/>
              </w:rPr>
              <w:t>2 BR</w:t>
            </w:r>
          </w:p>
        </w:tc>
        <w:tc>
          <w:tcPr>
            <w:tcW w:w="2073" w:type="dxa"/>
            <w:tcBorders>
              <w:top w:val="nil"/>
              <w:left w:val="single" w:sz="8" w:space="0" w:color="auto"/>
              <w:bottom w:val="single" w:sz="8" w:space="0" w:color="auto"/>
              <w:right w:val="single" w:sz="8" w:space="0" w:color="auto"/>
            </w:tcBorders>
          </w:tcPr>
          <w:p w14:paraId="0D53C0DF" w14:textId="77777777" w:rsidR="001C0E42" w:rsidRPr="001C0E42" w:rsidRDefault="001C0E42" w:rsidP="001C0E42">
            <w:pPr>
              <w:spacing w:after="0" w:line="240" w:lineRule="auto"/>
              <w:jc w:val="center"/>
              <w:rPr>
                <w:sz w:val="20"/>
                <w:szCs w:val="20"/>
                <w:lang w:eastAsia="ja-JP"/>
              </w:rPr>
            </w:pPr>
            <w:r w:rsidRPr="001C0E42">
              <w:rPr>
                <w:sz w:val="20"/>
                <w:szCs w:val="20"/>
              </w:rPr>
              <w:t>4</w:t>
            </w:r>
          </w:p>
        </w:tc>
        <w:tc>
          <w:tcPr>
            <w:tcW w:w="2073" w:type="dxa"/>
            <w:tcBorders>
              <w:top w:val="nil"/>
              <w:left w:val="single" w:sz="8" w:space="0" w:color="auto"/>
              <w:bottom w:val="single" w:sz="8" w:space="0" w:color="auto"/>
              <w:right w:val="single" w:sz="8" w:space="0" w:color="auto"/>
            </w:tcBorders>
          </w:tcPr>
          <w:p w14:paraId="611AEE4C" w14:textId="77777777" w:rsidR="001C0E42" w:rsidRPr="001C0E42" w:rsidRDefault="001C0E42" w:rsidP="001C0E42">
            <w:pPr>
              <w:spacing w:after="0" w:line="240" w:lineRule="auto"/>
              <w:jc w:val="center"/>
              <w:rPr>
                <w:sz w:val="20"/>
                <w:szCs w:val="20"/>
                <w:lang w:eastAsia="ja-JP"/>
              </w:rPr>
            </w:pPr>
            <w:r w:rsidRPr="001C0E42">
              <w:rPr>
                <w:sz w:val="20"/>
                <w:szCs w:val="20"/>
              </w:rPr>
              <w:t>HPH</w:t>
            </w:r>
          </w:p>
        </w:tc>
      </w:tr>
      <w:tr w:rsidR="001C0E42" w14:paraId="20DEDFFD" w14:textId="77777777" w:rsidTr="002C1F76">
        <w:trPr>
          <w:jc w:val="center"/>
        </w:trPr>
        <w:tc>
          <w:tcPr>
            <w:tcW w:w="2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BCCF3" w14:textId="77777777" w:rsidR="001C0E42" w:rsidRPr="001C0E42" w:rsidRDefault="001C0E42" w:rsidP="001C0E42">
            <w:pPr>
              <w:spacing w:after="0" w:line="240" w:lineRule="auto"/>
              <w:jc w:val="center"/>
              <w:rPr>
                <w:color w:val="222222"/>
                <w:sz w:val="20"/>
                <w:szCs w:val="20"/>
                <w:lang w:eastAsia="ja-JP"/>
              </w:rPr>
            </w:pPr>
            <w:r w:rsidRPr="001C0E42">
              <w:rPr>
                <w:sz w:val="20"/>
                <w:szCs w:val="20"/>
                <w:lang w:eastAsia="ja-JP"/>
              </w:rPr>
              <w:t>2 BR</w:t>
            </w:r>
          </w:p>
        </w:tc>
        <w:tc>
          <w:tcPr>
            <w:tcW w:w="2073" w:type="dxa"/>
            <w:tcBorders>
              <w:top w:val="nil"/>
              <w:left w:val="single" w:sz="8" w:space="0" w:color="auto"/>
              <w:bottom w:val="single" w:sz="8" w:space="0" w:color="auto"/>
              <w:right w:val="single" w:sz="8" w:space="0" w:color="auto"/>
            </w:tcBorders>
          </w:tcPr>
          <w:p w14:paraId="2E7256D4" w14:textId="77777777" w:rsidR="001C0E42" w:rsidRPr="001C0E42" w:rsidRDefault="001C0E42" w:rsidP="001C0E42">
            <w:pPr>
              <w:spacing w:after="0" w:line="240" w:lineRule="auto"/>
              <w:jc w:val="center"/>
              <w:rPr>
                <w:sz w:val="20"/>
                <w:szCs w:val="20"/>
                <w:lang w:eastAsia="ja-JP"/>
              </w:rPr>
            </w:pPr>
            <w:r w:rsidRPr="001C0E42">
              <w:rPr>
                <w:sz w:val="20"/>
                <w:szCs w:val="20"/>
              </w:rPr>
              <w:t>26</w:t>
            </w:r>
          </w:p>
        </w:tc>
        <w:tc>
          <w:tcPr>
            <w:tcW w:w="2073" w:type="dxa"/>
            <w:tcBorders>
              <w:top w:val="nil"/>
              <w:left w:val="single" w:sz="8" w:space="0" w:color="auto"/>
              <w:bottom w:val="single" w:sz="8" w:space="0" w:color="auto"/>
              <w:right w:val="single" w:sz="8" w:space="0" w:color="auto"/>
            </w:tcBorders>
          </w:tcPr>
          <w:p w14:paraId="7379C09B" w14:textId="77777777" w:rsidR="001C0E42" w:rsidRPr="001C0E42" w:rsidRDefault="001C0E42" w:rsidP="001C0E42">
            <w:pPr>
              <w:spacing w:after="0" w:line="240" w:lineRule="auto"/>
              <w:jc w:val="center"/>
              <w:rPr>
                <w:sz w:val="20"/>
                <w:szCs w:val="20"/>
                <w:lang w:eastAsia="ja-JP"/>
              </w:rPr>
            </w:pPr>
            <w:r w:rsidRPr="001C0E42">
              <w:rPr>
                <w:sz w:val="20"/>
                <w:szCs w:val="20"/>
              </w:rPr>
              <w:t>50%-60% AMI</w:t>
            </w:r>
          </w:p>
        </w:tc>
      </w:tr>
      <w:tr w:rsidR="001C0E42" w14:paraId="5FEC0839" w14:textId="77777777" w:rsidTr="002C1F76">
        <w:trPr>
          <w:jc w:val="center"/>
        </w:trPr>
        <w:tc>
          <w:tcPr>
            <w:tcW w:w="2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3B31F" w14:textId="77777777" w:rsidR="001C0E42" w:rsidRPr="001C0E42" w:rsidRDefault="001C0E42" w:rsidP="001C0E42">
            <w:pPr>
              <w:spacing w:after="0" w:line="240" w:lineRule="auto"/>
              <w:jc w:val="center"/>
              <w:rPr>
                <w:color w:val="222222"/>
                <w:sz w:val="20"/>
                <w:szCs w:val="20"/>
                <w:lang w:eastAsia="ja-JP"/>
              </w:rPr>
            </w:pPr>
            <w:r w:rsidRPr="001C0E42">
              <w:rPr>
                <w:sz w:val="20"/>
                <w:szCs w:val="20"/>
                <w:lang w:eastAsia="ja-JP"/>
              </w:rPr>
              <w:t>3 BR</w:t>
            </w:r>
          </w:p>
        </w:tc>
        <w:tc>
          <w:tcPr>
            <w:tcW w:w="2073" w:type="dxa"/>
            <w:tcBorders>
              <w:top w:val="nil"/>
              <w:left w:val="single" w:sz="8" w:space="0" w:color="auto"/>
              <w:bottom w:val="single" w:sz="8" w:space="0" w:color="auto"/>
              <w:right w:val="single" w:sz="8" w:space="0" w:color="auto"/>
            </w:tcBorders>
          </w:tcPr>
          <w:p w14:paraId="3D3B674E" w14:textId="77777777" w:rsidR="001C0E42" w:rsidRPr="001C0E42" w:rsidRDefault="001C0E42" w:rsidP="001C0E42">
            <w:pPr>
              <w:spacing w:after="0" w:line="240" w:lineRule="auto"/>
              <w:jc w:val="center"/>
              <w:rPr>
                <w:sz w:val="20"/>
                <w:szCs w:val="20"/>
                <w:lang w:eastAsia="ja-JP"/>
              </w:rPr>
            </w:pPr>
            <w:r w:rsidRPr="001C0E42">
              <w:rPr>
                <w:sz w:val="20"/>
                <w:szCs w:val="20"/>
              </w:rPr>
              <w:t>9</w:t>
            </w:r>
          </w:p>
        </w:tc>
        <w:tc>
          <w:tcPr>
            <w:tcW w:w="2073" w:type="dxa"/>
            <w:tcBorders>
              <w:top w:val="nil"/>
              <w:left w:val="single" w:sz="8" w:space="0" w:color="auto"/>
              <w:bottom w:val="single" w:sz="8" w:space="0" w:color="auto"/>
              <w:right w:val="single" w:sz="8" w:space="0" w:color="auto"/>
            </w:tcBorders>
          </w:tcPr>
          <w:p w14:paraId="2AF6FA46" w14:textId="77777777" w:rsidR="001C0E42" w:rsidRPr="001C0E42" w:rsidRDefault="001C0E42" w:rsidP="001C0E42">
            <w:pPr>
              <w:spacing w:after="0" w:line="240" w:lineRule="auto"/>
              <w:jc w:val="center"/>
              <w:rPr>
                <w:sz w:val="20"/>
                <w:szCs w:val="20"/>
                <w:lang w:eastAsia="ja-JP"/>
              </w:rPr>
            </w:pPr>
            <w:r w:rsidRPr="001C0E42">
              <w:rPr>
                <w:sz w:val="20"/>
                <w:szCs w:val="20"/>
              </w:rPr>
              <w:t>60% AMI</w:t>
            </w:r>
          </w:p>
        </w:tc>
      </w:tr>
      <w:tr w:rsidR="001C0E42" w14:paraId="4CC9C14D" w14:textId="77777777" w:rsidTr="002C1F76">
        <w:trPr>
          <w:jc w:val="center"/>
        </w:trPr>
        <w:tc>
          <w:tcPr>
            <w:tcW w:w="2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466C4" w14:textId="77777777" w:rsidR="001C0E42" w:rsidRPr="001C0E42" w:rsidRDefault="001C0E42" w:rsidP="001C0E42">
            <w:pPr>
              <w:spacing w:after="0" w:line="240" w:lineRule="auto"/>
              <w:jc w:val="center"/>
              <w:rPr>
                <w:color w:val="222222"/>
                <w:sz w:val="20"/>
                <w:szCs w:val="20"/>
                <w:lang w:eastAsia="ja-JP"/>
              </w:rPr>
            </w:pPr>
            <w:r w:rsidRPr="001C0E42">
              <w:rPr>
                <w:sz w:val="20"/>
                <w:szCs w:val="20"/>
                <w:lang w:eastAsia="ja-JP"/>
              </w:rPr>
              <w:t>4 BR</w:t>
            </w:r>
          </w:p>
        </w:tc>
        <w:tc>
          <w:tcPr>
            <w:tcW w:w="2073" w:type="dxa"/>
            <w:tcBorders>
              <w:top w:val="nil"/>
              <w:left w:val="single" w:sz="8" w:space="0" w:color="auto"/>
              <w:bottom w:val="single" w:sz="8" w:space="0" w:color="auto"/>
              <w:right w:val="single" w:sz="8" w:space="0" w:color="auto"/>
            </w:tcBorders>
          </w:tcPr>
          <w:p w14:paraId="2CE77B45" w14:textId="77777777" w:rsidR="001C0E42" w:rsidRPr="001C0E42" w:rsidRDefault="001C0E42" w:rsidP="001C0E42">
            <w:pPr>
              <w:spacing w:after="0" w:line="240" w:lineRule="auto"/>
              <w:jc w:val="center"/>
              <w:rPr>
                <w:sz w:val="20"/>
                <w:szCs w:val="20"/>
                <w:lang w:eastAsia="ja-JP"/>
              </w:rPr>
            </w:pPr>
            <w:r w:rsidRPr="001C0E42">
              <w:rPr>
                <w:sz w:val="20"/>
                <w:szCs w:val="20"/>
              </w:rPr>
              <w:t>6</w:t>
            </w:r>
          </w:p>
        </w:tc>
        <w:tc>
          <w:tcPr>
            <w:tcW w:w="2073" w:type="dxa"/>
            <w:tcBorders>
              <w:top w:val="nil"/>
              <w:left w:val="single" w:sz="8" w:space="0" w:color="auto"/>
              <w:bottom w:val="single" w:sz="8" w:space="0" w:color="auto"/>
              <w:right w:val="single" w:sz="8" w:space="0" w:color="auto"/>
            </w:tcBorders>
          </w:tcPr>
          <w:p w14:paraId="4770C887" w14:textId="77777777" w:rsidR="001C0E42" w:rsidRPr="001C0E42" w:rsidRDefault="001C0E42" w:rsidP="001C0E42">
            <w:pPr>
              <w:spacing w:after="0" w:line="240" w:lineRule="auto"/>
              <w:jc w:val="center"/>
              <w:rPr>
                <w:sz w:val="20"/>
                <w:szCs w:val="20"/>
                <w:lang w:eastAsia="ja-JP"/>
              </w:rPr>
            </w:pPr>
            <w:r w:rsidRPr="001C0E42">
              <w:rPr>
                <w:sz w:val="20"/>
                <w:szCs w:val="20"/>
              </w:rPr>
              <w:t>60% AMI</w:t>
            </w:r>
          </w:p>
        </w:tc>
      </w:tr>
      <w:tr w:rsidR="001C0E42" w14:paraId="405813FA" w14:textId="77777777" w:rsidTr="002C1F76">
        <w:trPr>
          <w:jc w:val="center"/>
        </w:trPr>
        <w:tc>
          <w:tcPr>
            <w:tcW w:w="2073"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73099424" w14:textId="77777777" w:rsidR="001C0E42" w:rsidRPr="001C0E42" w:rsidRDefault="001C0E42" w:rsidP="001C0E42">
            <w:pPr>
              <w:spacing w:after="0" w:line="240" w:lineRule="auto"/>
              <w:jc w:val="center"/>
              <w:rPr>
                <w:b/>
                <w:bCs/>
                <w:color w:val="222222"/>
                <w:sz w:val="20"/>
                <w:szCs w:val="20"/>
                <w:lang w:eastAsia="ja-JP"/>
              </w:rPr>
            </w:pPr>
            <w:r w:rsidRPr="001C0E42">
              <w:rPr>
                <w:b/>
                <w:bCs/>
                <w:color w:val="222222"/>
                <w:sz w:val="20"/>
                <w:szCs w:val="20"/>
                <w:lang w:eastAsia="ja-JP"/>
              </w:rPr>
              <w:t>Total:</w:t>
            </w:r>
          </w:p>
        </w:tc>
        <w:tc>
          <w:tcPr>
            <w:tcW w:w="2073" w:type="dxa"/>
            <w:tcBorders>
              <w:top w:val="nil"/>
              <w:left w:val="single" w:sz="8" w:space="0" w:color="auto"/>
              <w:bottom w:val="single" w:sz="8" w:space="0" w:color="auto"/>
              <w:right w:val="single" w:sz="8" w:space="0" w:color="auto"/>
            </w:tcBorders>
            <w:shd w:val="clear" w:color="auto" w:fill="D9E2F3"/>
          </w:tcPr>
          <w:p w14:paraId="51851BDE" w14:textId="77777777" w:rsidR="001C0E42" w:rsidRPr="001C0E42" w:rsidRDefault="001C0E42" w:rsidP="001C0E42">
            <w:pPr>
              <w:spacing w:after="0" w:line="240" w:lineRule="auto"/>
              <w:jc w:val="center"/>
              <w:rPr>
                <w:b/>
                <w:bCs/>
                <w:color w:val="222222"/>
                <w:sz w:val="20"/>
                <w:szCs w:val="20"/>
                <w:lang w:eastAsia="ja-JP"/>
              </w:rPr>
            </w:pPr>
            <w:r w:rsidRPr="001C0E42">
              <w:rPr>
                <w:sz w:val="20"/>
                <w:szCs w:val="20"/>
              </w:rPr>
              <w:t>Total: 57</w:t>
            </w:r>
          </w:p>
        </w:tc>
        <w:tc>
          <w:tcPr>
            <w:tcW w:w="2073" w:type="dxa"/>
            <w:tcBorders>
              <w:top w:val="nil"/>
              <w:left w:val="single" w:sz="8" w:space="0" w:color="auto"/>
              <w:bottom w:val="single" w:sz="8" w:space="0" w:color="auto"/>
              <w:right w:val="single" w:sz="8" w:space="0" w:color="auto"/>
            </w:tcBorders>
            <w:shd w:val="clear" w:color="auto" w:fill="D9E2F3"/>
          </w:tcPr>
          <w:p w14:paraId="7A8AF7F9" w14:textId="77777777" w:rsidR="001C0E42" w:rsidRPr="001C0E42" w:rsidRDefault="001C0E42" w:rsidP="001C0E42">
            <w:pPr>
              <w:spacing w:after="0" w:line="240" w:lineRule="auto"/>
              <w:jc w:val="center"/>
              <w:rPr>
                <w:b/>
                <w:bCs/>
                <w:color w:val="222222"/>
                <w:sz w:val="20"/>
                <w:szCs w:val="20"/>
                <w:lang w:eastAsia="ja-JP"/>
              </w:rPr>
            </w:pPr>
            <w:r w:rsidRPr="001C0E42">
              <w:rPr>
                <w:sz w:val="20"/>
                <w:szCs w:val="20"/>
              </w:rPr>
              <w:t xml:space="preserve"> </w:t>
            </w:r>
          </w:p>
        </w:tc>
      </w:tr>
    </w:tbl>
    <w:p w14:paraId="4388C7B4" w14:textId="77777777" w:rsidR="001C0E42" w:rsidRDefault="001C0E42" w:rsidP="001C0E42">
      <w:pPr>
        <w:pStyle w:val="xmsonormal"/>
        <w:rPr>
          <w:rFonts w:eastAsia="Times New Roman"/>
          <w:color w:val="000000"/>
        </w:rPr>
      </w:pPr>
    </w:p>
    <w:p w14:paraId="514260A4" w14:textId="3837109F" w:rsidR="001C0E42" w:rsidRPr="001C0E42" w:rsidRDefault="001C0E42" w:rsidP="001C0E42">
      <w:pPr>
        <w:pStyle w:val="xmsonormal"/>
        <w:jc w:val="both"/>
        <w:rPr>
          <w:rFonts w:eastAsia="Times New Roman"/>
          <w:color w:val="000000"/>
        </w:rPr>
      </w:pPr>
      <w:r w:rsidRPr="001C0E42">
        <w:rPr>
          <w:rFonts w:eastAsia="Times New Roman"/>
          <w:color w:val="000000"/>
        </w:rPr>
        <w:t>7 High Priority Homeless units will be going through Coordinated Entry, the 5 Persons with Disabilities units will now be Section 811.</w:t>
      </w:r>
      <w:r>
        <w:rPr>
          <w:rFonts w:eastAsia="Times New Roman"/>
          <w:color w:val="000000"/>
        </w:rPr>
        <w:t xml:space="preserve"> </w:t>
      </w:r>
    </w:p>
    <w:p w14:paraId="729EE206" w14:textId="390EADBF" w:rsidR="001C0E42" w:rsidRPr="001C0E42" w:rsidRDefault="001C0E42" w:rsidP="001C0E42">
      <w:pPr>
        <w:pStyle w:val="xmsonormal"/>
        <w:jc w:val="both"/>
        <w:rPr>
          <w:rFonts w:eastAsia="Times New Roman"/>
          <w:color w:val="000000"/>
        </w:rPr>
      </w:pPr>
      <w:r>
        <w:rPr>
          <w:rFonts w:eastAsia="Times New Roman"/>
          <w:color w:val="000000"/>
        </w:rPr>
        <w:t>S</w:t>
      </w:r>
      <w:r w:rsidRPr="001C0E42">
        <w:rPr>
          <w:rFonts w:eastAsia="Times New Roman"/>
          <w:color w:val="000000"/>
        </w:rPr>
        <w:t>ervice Provider –MN Care Counseling Services is a new provider for the 7 HPH units, MCC has recently become a Housing Support Provider at Anoka County. The MN Dept of Health will be connected to the Section 811 units.</w:t>
      </w:r>
    </w:p>
    <w:p w14:paraId="0E0335DD" w14:textId="5624AF33" w:rsidR="001C0E42" w:rsidRDefault="001C0E42" w:rsidP="001C0E42">
      <w:pPr>
        <w:pStyle w:val="xmsonormal"/>
        <w:jc w:val="both"/>
        <w:rPr>
          <w:rFonts w:eastAsia="Times New Roman"/>
          <w:color w:val="000000"/>
        </w:rPr>
      </w:pPr>
      <w:r w:rsidRPr="001C0E42">
        <w:rPr>
          <w:rFonts w:eastAsia="Times New Roman"/>
          <w:color w:val="000000"/>
        </w:rPr>
        <w:t>Populations being served – Single adults and families experiencing long-term homelessness that meet the Housing Support criteria, and single adults meeting the Section 811 disability criteria</w:t>
      </w:r>
    </w:p>
    <w:p w14:paraId="72F47BBE" w14:textId="77777777" w:rsidR="001C0E42" w:rsidRDefault="001C0E42" w:rsidP="001C0E42">
      <w:pPr>
        <w:spacing w:after="0" w:line="240" w:lineRule="auto"/>
      </w:pPr>
    </w:p>
    <w:p w14:paraId="2C3469AA" w14:textId="5D116F71" w:rsidR="001C0E42" w:rsidRDefault="001C0E42" w:rsidP="001C0E42">
      <w:pPr>
        <w:spacing w:after="0" w:line="240" w:lineRule="auto"/>
      </w:pPr>
      <w:r w:rsidRPr="001C0E42">
        <w:rPr>
          <w:highlight w:val="yellow"/>
        </w:rPr>
        <w:t>Carver County</w:t>
      </w:r>
      <w:r>
        <w:t xml:space="preserve">: 3 Projects Proposed (Carver CDA (Carver Oaks &amp; Carver Place) and Sand Companies (Victoria Apartments)) </w:t>
      </w:r>
    </w:p>
    <w:p w14:paraId="313D941B" w14:textId="77777777" w:rsidR="001C0E42" w:rsidRPr="001C0E42" w:rsidRDefault="001C0E42" w:rsidP="001C0E42">
      <w:pPr>
        <w:shd w:val="clear" w:color="auto" w:fill="FFFFFF"/>
        <w:spacing w:after="0" w:line="240" w:lineRule="auto"/>
        <w:rPr>
          <w:rFonts w:ascii="Calibri" w:eastAsia="Calibri" w:hAnsi="Calibri" w:cs="Times New Roman"/>
          <w:color w:val="222222"/>
        </w:rPr>
      </w:pPr>
      <w:r w:rsidRPr="001C0E42">
        <w:rPr>
          <w:rFonts w:ascii="Calibri" w:eastAsia="Calibri" w:hAnsi="Calibri" w:cs="Times New Roman"/>
          <w:b/>
          <w:bCs/>
          <w:i/>
          <w:iCs/>
          <w:color w:val="222222"/>
        </w:rPr>
        <w:t>Carver Oaks</w:t>
      </w:r>
      <w:r w:rsidRPr="001C0E42">
        <w:rPr>
          <w:rFonts w:ascii="Calibri" w:eastAsia="Calibri" w:hAnsi="Calibri" w:cs="Times New Roman"/>
          <w:color w:val="222222"/>
        </w:rPr>
        <w:t xml:space="preserve">: </w:t>
      </w:r>
    </w:p>
    <w:tbl>
      <w:tblPr>
        <w:tblStyle w:val="TableGrid"/>
        <w:tblW w:w="0" w:type="auto"/>
        <w:jc w:val="center"/>
        <w:tblLook w:val="04A0" w:firstRow="1" w:lastRow="0" w:firstColumn="1" w:lastColumn="0" w:noHBand="0" w:noVBand="1"/>
      </w:tblPr>
      <w:tblGrid>
        <w:gridCol w:w="2073"/>
        <w:gridCol w:w="2073"/>
        <w:gridCol w:w="2014"/>
      </w:tblGrid>
      <w:tr w:rsidR="001C0E42" w:rsidRPr="001C0E42" w14:paraId="45C5BFF4" w14:textId="77777777" w:rsidTr="001C0E42">
        <w:trPr>
          <w:jc w:val="center"/>
        </w:trPr>
        <w:tc>
          <w:tcPr>
            <w:tcW w:w="2073" w:type="dxa"/>
            <w:shd w:val="clear" w:color="auto" w:fill="E7E6E6"/>
          </w:tcPr>
          <w:p w14:paraId="22678D8D" w14:textId="77777777" w:rsidR="001C0E42" w:rsidRPr="001C0E42" w:rsidRDefault="001C0E42" w:rsidP="001C0E42">
            <w:pPr>
              <w:spacing w:after="240"/>
              <w:contextualSpacing/>
              <w:jc w:val="center"/>
              <w:rPr>
                <w:rFonts w:eastAsia="Times New Roman" w:cs="Calibri"/>
                <w:b/>
                <w:bCs/>
                <w:color w:val="222222"/>
              </w:rPr>
            </w:pPr>
            <w:bookmarkStart w:id="0" w:name="_Hlk104980254"/>
            <w:r w:rsidRPr="001C0E42">
              <w:rPr>
                <w:rFonts w:eastAsia="Times New Roman" w:cs="Calibri"/>
                <w:b/>
                <w:bCs/>
                <w:color w:val="222222"/>
              </w:rPr>
              <w:t>Unit Type</w:t>
            </w:r>
          </w:p>
        </w:tc>
        <w:tc>
          <w:tcPr>
            <w:tcW w:w="2073" w:type="dxa"/>
            <w:shd w:val="clear" w:color="auto" w:fill="E7E6E6"/>
          </w:tcPr>
          <w:p w14:paraId="79AE2778" w14:textId="77777777" w:rsidR="001C0E42" w:rsidRPr="001C0E42" w:rsidRDefault="001C0E42" w:rsidP="001C0E42">
            <w:pPr>
              <w:spacing w:after="240"/>
              <w:contextualSpacing/>
              <w:jc w:val="center"/>
              <w:rPr>
                <w:rFonts w:eastAsia="Times New Roman" w:cs="Calibri"/>
                <w:b/>
                <w:bCs/>
                <w:color w:val="222222"/>
              </w:rPr>
            </w:pPr>
            <w:r w:rsidRPr="001C0E42">
              <w:rPr>
                <w:rFonts w:eastAsia="Times New Roman" w:cs="Calibri"/>
                <w:b/>
                <w:bCs/>
                <w:color w:val="222222"/>
              </w:rPr>
              <w:t xml:space="preserve"># </w:t>
            </w:r>
            <w:proofErr w:type="gramStart"/>
            <w:r w:rsidRPr="001C0E42">
              <w:rPr>
                <w:rFonts w:eastAsia="Times New Roman" w:cs="Calibri"/>
                <w:b/>
                <w:bCs/>
                <w:color w:val="222222"/>
              </w:rPr>
              <w:t>of</w:t>
            </w:r>
            <w:proofErr w:type="gramEnd"/>
            <w:r w:rsidRPr="001C0E42">
              <w:rPr>
                <w:rFonts w:eastAsia="Times New Roman" w:cs="Calibri"/>
                <w:b/>
                <w:bCs/>
                <w:color w:val="222222"/>
              </w:rPr>
              <w:t xml:space="preserve"> Units</w:t>
            </w:r>
          </w:p>
        </w:tc>
        <w:tc>
          <w:tcPr>
            <w:tcW w:w="2014" w:type="dxa"/>
            <w:shd w:val="clear" w:color="auto" w:fill="E7E6E6"/>
          </w:tcPr>
          <w:p w14:paraId="292D3136" w14:textId="77777777" w:rsidR="001C0E42" w:rsidRPr="001C0E42" w:rsidRDefault="001C0E42" w:rsidP="001C0E42">
            <w:pPr>
              <w:spacing w:after="240"/>
              <w:contextualSpacing/>
              <w:jc w:val="center"/>
              <w:rPr>
                <w:rFonts w:eastAsia="Times New Roman" w:cs="Calibri"/>
                <w:b/>
                <w:bCs/>
                <w:color w:val="222222"/>
              </w:rPr>
            </w:pPr>
            <w:r w:rsidRPr="001C0E42">
              <w:rPr>
                <w:rFonts w:eastAsia="Times New Roman" w:cs="Calibri"/>
                <w:b/>
                <w:bCs/>
                <w:color w:val="222222"/>
              </w:rPr>
              <w:t>Income Levels</w:t>
            </w:r>
          </w:p>
        </w:tc>
      </w:tr>
      <w:tr w:rsidR="001C0E42" w:rsidRPr="001C0E42" w14:paraId="2C16B299" w14:textId="77777777" w:rsidTr="002C1F76">
        <w:trPr>
          <w:jc w:val="center"/>
        </w:trPr>
        <w:tc>
          <w:tcPr>
            <w:tcW w:w="2073" w:type="dxa"/>
          </w:tcPr>
          <w:p w14:paraId="4E61DD97"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1br</w:t>
            </w:r>
          </w:p>
        </w:tc>
        <w:tc>
          <w:tcPr>
            <w:tcW w:w="2073" w:type="dxa"/>
          </w:tcPr>
          <w:p w14:paraId="1B7EBD8E" w14:textId="77777777" w:rsidR="001C0E42" w:rsidRPr="001C0E42" w:rsidRDefault="001C0E42" w:rsidP="001C0E42">
            <w:pPr>
              <w:spacing w:after="240"/>
              <w:contextualSpacing/>
              <w:rPr>
                <w:rFonts w:eastAsia="Times New Roman" w:cs="Calibri"/>
                <w:color w:val="222222"/>
              </w:rPr>
            </w:pPr>
            <w:r w:rsidRPr="001C0E42">
              <w:rPr>
                <w:rFonts w:eastAsia="Times New Roman" w:cs="Calibri"/>
                <w:color w:val="222222"/>
              </w:rPr>
              <w:t>7</w:t>
            </w:r>
          </w:p>
        </w:tc>
        <w:tc>
          <w:tcPr>
            <w:tcW w:w="2014" w:type="dxa"/>
          </w:tcPr>
          <w:p w14:paraId="683A9FF0"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HPH – VASH (</w:t>
            </w:r>
            <w:r w:rsidRPr="001C0E42">
              <w:rPr>
                <w:rFonts w:eastAsia="Times New Roman" w:cs="Calibri"/>
                <w:i/>
                <w:iCs/>
                <w:color w:val="222222"/>
              </w:rPr>
              <w:t>filled through Homeless Veteran’s Registry</w:t>
            </w:r>
            <w:r w:rsidRPr="001C0E42">
              <w:rPr>
                <w:rFonts w:eastAsia="Times New Roman" w:cs="Calibri"/>
                <w:color w:val="222222"/>
              </w:rPr>
              <w:t>)</w:t>
            </w:r>
          </w:p>
        </w:tc>
      </w:tr>
      <w:tr w:rsidR="001C0E42" w:rsidRPr="001C0E42" w14:paraId="710C17E8" w14:textId="77777777" w:rsidTr="002C1F76">
        <w:trPr>
          <w:jc w:val="center"/>
        </w:trPr>
        <w:tc>
          <w:tcPr>
            <w:tcW w:w="2073" w:type="dxa"/>
          </w:tcPr>
          <w:p w14:paraId="7DCE6D72"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1br</w:t>
            </w:r>
          </w:p>
        </w:tc>
        <w:tc>
          <w:tcPr>
            <w:tcW w:w="2073" w:type="dxa"/>
          </w:tcPr>
          <w:p w14:paraId="7349B4C2" w14:textId="77777777" w:rsidR="001C0E42" w:rsidRPr="001C0E42" w:rsidRDefault="001C0E42" w:rsidP="001C0E42">
            <w:pPr>
              <w:spacing w:after="240"/>
              <w:contextualSpacing/>
              <w:rPr>
                <w:rFonts w:eastAsia="Times New Roman" w:cs="Calibri"/>
                <w:color w:val="222222"/>
              </w:rPr>
            </w:pPr>
            <w:r w:rsidRPr="001C0E42">
              <w:rPr>
                <w:rFonts w:eastAsia="Times New Roman" w:cs="Calibri"/>
                <w:color w:val="222222"/>
              </w:rPr>
              <w:t>36</w:t>
            </w:r>
          </w:p>
        </w:tc>
        <w:tc>
          <w:tcPr>
            <w:tcW w:w="2014" w:type="dxa"/>
          </w:tcPr>
          <w:p w14:paraId="6DA86A8A"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60% AMI</w:t>
            </w:r>
          </w:p>
        </w:tc>
      </w:tr>
      <w:tr w:rsidR="001C0E42" w:rsidRPr="001C0E42" w14:paraId="2B2A8504" w14:textId="77777777" w:rsidTr="001C0E42">
        <w:trPr>
          <w:jc w:val="center"/>
        </w:trPr>
        <w:tc>
          <w:tcPr>
            <w:tcW w:w="2073" w:type="dxa"/>
            <w:shd w:val="clear" w:color="auto" w:fill="D9E2F3"/>
          </w:tcPr>
          <w:p w14:paraId="77FE0F25" w14:textId="77777777" w:rsidR="001C0E42" w:rsidRPr="001C0E42" w:rsidRDefault="001C0E42" w:rsidP="001C0E42">
            <w:pPr>
              <w:spacing w:after="240"/>
              <w:contextualSpacing/>
              <w:jc w:val="center"/>
              <w:rPr>
                <w:rFonts w:eastAsia="Times New Roman" w:cs="Calibri"/>
                <w:b/>
                <w:bCs/>
                <w:color w:val="222222"/>
              </w:rPr>
            </w:pPr>
            <w:r w:rsidRPr="001C0E42">
              <w:rPr>
                <w:rFonts w:eastAsia="Times New Roman" w:cs="Calibri"/>
                <w:b/>
                <w:bCs/>
                <w:color w:val="222222"/>
              </w:rPr>
              <w:t>Total:</w:t>
            </w:r>
          </w:p>
        </w:tc>
        <w:tc>
          <w:tcPr>
            <w:tcW w:w="4087" w:type="dxa"/>
            <w:gridSpan w:val="2"/>
            <w:shd w:val="clear" w:color="auto" w:fill="D9E2F3"/>
          </w:tcPr>
          <w:p w14:paraId="689805FC" w14:textId="77777777" w:rsidR="001C0E42" w:rsidRPr="001C0E42" w:rsidRDefault="001C0E42" w:rsidP="001C0E42">
            <w:pPr>
              <w:spacing w:after="240"/>
              <w:contextualSpacing/>
              <w:rPr>
                <w:rFonts w:eastAsia="Times New Roman" w:cs="Calibri"/>
                <w:b/>
                <w:bCs/>
                <w:color w:val="222222"/>
              </w:rPr>
            </w:pPr>
            <w:r w:rsidRPr="001C0E42">
              <w:rPr>
                <w:rFonts w:eastAsia="Times New Roman" w:cs="Calibri"/>
                <w:b/>
                <w:bCs/>
                <w:color w:val="222222"/>
              </w:rPr>
              <w:t>43</w:t>
            </w:r>
          </w:p>
        </w:tc>
      </w:tr>
      <w:bookmarkEnd w:id="0"/>
    </w:tbl>
    <w:p w14:paraId="193DB695" w14:textId="77777777" w:rsidR="001C0E42" w:rsidRPr="001C0E42" w:rsidRDefault="001C0E42" w:rsidP="001C0E42">
      <w:pPr>
        <w:shd w:val="clear" w:color="auto" w:fill="FFFFFF"/>
        <w:spacing w:after="0" w:line="240" w:lineRule="auto"/>
        <w:rPr>
          <w:rFonts w:ascii="Calibri" w:eastAsia="Calibri" w:hAnsi="Calibri" w:cs="Times New Roman"/>
          <w:color w:val="222222"/>
        </w:rPr>
      </w:pPr>
    </w:p>
    <w:p w14:paraId="6F923A95" w14:textId="77777777" w:rsidR="001C0E42" w:rsidRPr="001C0E42" w:rsidRDefault="001C0E42" w:rsidP="001C0E42">
      <w:pPr>
        <w:shd w:val="clear" w:color="auto" w:fill="FFFFFF"/>
        <w:spacing w:after="0" w:line="240" w:lineRule="auto"/>
        <w:jc w:val="both"/>
        <w:rPr>
          <w:rFonts w:ascii="Calibri" w:eastAsia="Calibri" w:hAnsi="Calibri" w:cs="Times New Roman"/>
          <w:color w:val="222222"/>
        </w:rPr>
      </w:pPr>
      <w:r w:rsidRPr="001C0E42">
        <w:rPr>
          <w:rFonts w:ascii="Calibri" w:eastAsia="Calibri" w:hAnsi="Calibri" w:cs="Times New Roman"/>
          <w:color w:val="222222"/>
        </w:rPr>
        <w:t>Independent living senior project (55+)</w:t>
      </w:r>
    </w:p>
    <w:p w14:paraId="57DE58C5" w14:textId="77777777" w:rsidR="001C0E42" w:rsidRPr="001C0E42" w:rsidRDefault="001C0E42" w:rsidP="001C0E42">
      <w:pPr>
        <w:shd w:val="clear" w:color="auto" w:fill="FFFFFF"/>
        <w:spacing w:after="0" w:line="240" w:lineRule="auto"/>
        <w:jc w:val="both"/>
        <w:rPr>
          <w:rFonts w:ascii="Calibri" w:eastAsia="Calibri" w:hAnsi="Calibri" w:cs="Times New Roman"/>
          <w:color w:val="222222"/>
        </w:rPr>
      </w:pPr>
      <w:r w:rsidRPr="001C0E42">
        <w:rPr>
          <w:rFonts w:ascii="Calibri" w:eastAsia="Calibri" w:hAnsi="Calibri" w:cs="Times New Roman"/>
          <w:color w:val="222222"/>
        </w:rPr>
        <w:t>Co-located with Carver Place (below) with shared community space</w:t>
      </w:r>
    </w:p>
    <w:p w14:paraId="0800541D" w14:textId="77777777" w:rsidR="001C0E42" w:rsidRPr="001C0E42" w:rsidRDefault="001C0E42" w:rsidP="001C0E42">
      <w:pPr>
        <w:shd w:val="clear" w:color="auto" w:fill="FFFFFF"/>
        <w:spacing w:after="0" w:line="240" w:lineRule="auto"/>
        <w:jc w:val="both"/>
        <w:rPr>
          <w:rFonts w:ascii="Calibri" w:eastAsia="Calibri" w:hAnsi="Calibri" w:cs="Times New Roman"/>
          <w:color w:val="222222"/>
        </w:rPr>
      </w:pPr>
      <w:r w:rsidRPr="001C0E42">
        <w:rPr>
          <w:rFonts w:ascii="Calibri" w:eastAsia="Calibri" w:hAnsi="Calibri" w:cs="Times New Roman"/>
          <w:color w:val="222222"/>
        </w:rPr>
        <w:t>Resident Service Coordination: Based on the needs of residents, staff will work to bring organizations to the property for presentation around services.</w:t>
      </w:r>
    </w:p>
    <w:p w14:paraId="67CAC33B" w14:textId="40121B39" w:rsidR="001C0E42" w:rsidRDefault="001C0E42" w:rsidP="001C0E42">
      <w:pPr>
        <w:shd w:val="clear" w:color="auto" w:fill="FFFFFF"/>
        <w:spacing w:after="0" w:line="240" w:lineRule="auto"/>
        <w:jc w:val="both"/>
        <w:rPr>
          <w:rFonts w:ascii="Calibri" w:eastAsia="Calibri" w:hAnsi="Calibri" w:cs="Times New Roman"/>
          <w:color w:val="222222"/>
        </w:rPr>
      </w:pPr>
      <w:r w:rsidRPr="001C0E42">
        <w:rPr>
          <w:rFonts w:ascii="Calibri" w:eastAsia="Calibri" w:hAnsi="Calibri" w:cs="Times New Roman"/>
          <w:color w:val="222222"/>
        </w:rPr>
        <w:t>The CDA applied to Metro HRA for seven VASH project-based vouchers for the high priority homeless (HPH) units at the project. The VA provided a letter of support for the application.</w:t>
      </w:r>
    </w:p>
    <w:p w14:paraId="11AB42E9" w14:textId="774A09CD" w:rsidR="001C0E42" w:rsidRDefault="001C0E42" w:rsidP="001C0E42">
      <w:pPr>
        <w:shd w:val="clear" w:color="auto" w:fill="FFFFFF"/>
        <w:spacing w:after="0" w:line="240" w:lineRule="auto"/>
        <w:ind w:left="720"/>
        <w:jc w:val="both"/>
        <w:rPr>
          <w:rFonts w:ascii="Calibri" w:eastAsia="Calibri" w:hAnsi="Calibri" w:cs="Times New Roman"/>
          <w:color w:val="222222"/>
        </w:rPr>
      </w:pPr>
      <w:r w:rsidRPr="001C0E42">
        <w:rPr>
          <w:rFonts w:ascii="Calibri" w:eastAsia="Calibri" w:hAnsi="Calibri" w:cs="Times New Roman"/>
          <w:i/>
          <w:iCs/>
          <w:color w:val="222222"/>
        </w:rPr>
        <w:t>Question</w:t>
      </w:r>
      <w:r>
        <w:rPr>
          <w:rFonts w:ascii="Calibri" w:eastAsia="Calibri" w:hAnsi="Calibri" w:cs="Times New Roman"/>
          <w:color w:val="222222"/>
        </w:rPr>
        <w:t xml:space="preserve">: </w:t>
      </w:r>
      <w:r w:rsidRPr="001C0E42">
        <w:rPr>
          <w:rFonts w:ascii="Calibri" w:eastAsia="Calibri" w:hAnsi="Calibri" w:cs="Times New Roman"/>
          <w:color w:val="222222"/>
        </w:rPr>
        <w:t>Is there a back-up plan if these units are unable to be filled via VASH</w:t>
      </w:r>
      <w:r>
        <w:rPr>
          <w:rFonts w:ascii="Calibri" w:eastAsia="Calibri" w:hAnsi="Calibri" w:cs="Times New Roman"/>
          <w:color w:val="222222"/>
        </w:rPr>
        <w:t>?</w:t>
      </w:r>
      <w:r w:rsidRPr="001C0E42">
        <w:rPr>
          <w:rFonts w:ascii="Calibri" w:eastAsia="Calibri" w:hAnsi="Calibri" w:cs="Times New Roman"/>
          <w:color w:val="222222"/>
        </w:rPr>
        <w:t xml:space="preserve"> Would be filled through Vet Registry and/or MDVA more frequently. Would not maintain a residency requirement for these Veterans, so it’s conceivable that other SMAC Vets could access the unit.</w:t>
      </w:r>
    </w:p>
    <w:p w14:paraId="665B4255" w14:textId="77777777" w:rsidR="001C0E42" w:rsidRPr="001C0E42" w:rsidRDefault="001C0E42" w:rsidP="001C0E42">
      <w:pPr>
        <w:shd w:val="clear" w:color="auto" w:fill="FFFFFF"/>
        <w:spacing w:after="0" w:line="240" w:lineRule="auto"/>
        <w:jc w:val="both"/>
        <w:rPr>
          <w:rFonts w:ascii="Calibri" w:eastAsia="Calibri" w:hAnsi="Calibri" w:cs="Times New Roman"/>
          <w:color w:val="222222"/>
        </w:rPr>
      </w:pPr>
    </w:p>
    <w:p w14:paraId="42604235" w14:textId="77777777" w:rsidR="001C0E42" w:rsidRPr="001C0E42" w:rsidRDefault="001C0E42" w:rsidP="001C0E42">
      <w:pPr>
        <w:shd w:val="clear" w:color="auto" w:fill="FFFFFF"/>
        <w:spacing w:after="0" w:line="240" w:lineRule="auto"/>
        <w:rPr>
          <w:rFonts w:ascii="Calibri" w:eastAsia="Calibri" w:hAnsi="Calibri" w:cs="Times New Roman"/>
          <w:color w:val="222222"/>
        </w:rPr>
      </w:pPr>
      <w:r w:rsidRPr="001C0E42">
        <w:rPr>
          <w:rFonts w:ascii="Calibri" w:eastAsia="Calibri" w:hAnsi="Calibri" w:cs="Times New Roman"/>
          <w:b/>
          <w:bCs/>
          <w:i/>
          <w:iCs/>
          <w:color w:val="222222"/>
        </w:rPr>
        <w:t>Carver Place</w:t>
      </w:r>
      <w:r w:rsidRPr="001C0E42">
        <w:rPr>
          <w:rFonts w:ascii="Calibri" w:eastAsia="Calibri" w:hAnsi="Calibri" w:cs="Times New Roman"/>
          <w:color w:val="222222"/>
        </w:rPr>
        <w:t xml:space="preserve">: </w:t>
      </w:r>
    </w:p>
    <w:tbl>
      <w:tblPr>
        <w:tblStyle w:val="TableGrid"/>
        <w:tblW w:w="0" w:type="auto"/>
        <w:jc w:val="center"/>
        <w:tblLook w:val="04A0" w:firstRow="1" w:lastRow="0" w:firstColumn="1" w:lastColumn="0" w:noHBand="0" w:noVBand="1"/>
      </w:tblPr>
      <w:tblGrid>
        <w:gridCol w:w="2073"/>
        <w:gridCol w:w="2073"/>
        <w:gridCol w:w="2014"/>
      </w:tblGrid>
      <w:tr w:rsidR="001C0E42" w:rsidRPr="001C0E42" w14:paraId="1239F0E7" w14:textId="77777777" w:rsidTr="001C0E42">
        <w:trPr>
          <w:jc w:val="center"/>
        </w:trPr>
        <w:tc>
          <w:tcPr>
            <w:tcW w:w="2073" w:type="dxa"/>
            <w:shd w:val="clear" w:color="auto" w:fill="E7E6E6"/>
          </w:tcPr>
          <w:p w14:paraId="01D8BB0F" w14:textId="77777777" w:rsidR="001C0E42" w:rsidRPr="001C0E42" w:rsidRDefault="001C0E42" w:rsidP="001C0E42">
            <w:pPr>
              <w:spacing w:after="240"/>
              <w:contextualSpacing/>
              <w:jc w:val="center"/>
              <w:rPr>
                <w:rFonts w:eastAsia="Times New Roman" w:cs="Calibri"/>
                <w:b/>
                <w:bCs/>
                <w:color w:val="222222"/>
              </w:rPr>
            </w:pPr>
            <w:r w:rsidRPr="001C0E42">
              <w:rPr>
                <w:rFonts w:eastAsia="Times New Roman" w:cs="Calibri"/>
                <w:b/>
                <w:bCs/>
                <w:color w:val="222222"/>
              </w:rPr>
              <w:t>Unit Type</w:t>
            </w:r>
          </w:p>
        </w:tc>
        <w:tc>
          <w:tcPr>
            <w:tcW w:w="2073" w:type="dxa"/>
            <w:shd w:val="clear" w:color="auto" w:fill="E7E6E6"/>
          </w:tcPr>
          <w:p w14:paraId="728CCCB8" w14:textId="77777777" w:rsidR="001C0E42" w:rsidRPr="001C0E42" w:rsidRDefault="001C0E42" w:rsidP="001C0E42">
            <w:pPr>
              <w:spacing w:after="240"/>
              <w:contextualSpacing/>
              <w:jc w:val="center"/>
              <w:rPr>
                <w:rFonts w:eastAsia="Times New Roman" w:cs="Calibri"/>
                <w:b/>
                <w:bCs/>
                <w:color w:val="222222"/>
              </w:rPr>
            </w:pPr>
            <w:r w:rsidRPr="001C0E42">
              <w:rPr>
                <w:rFonts w:eastAsia="Times New Roman" w:cs="Calibri"/>
                <w:b/>
                <w:bCs/>
                <w:color w:val="222222"/>
              </w:rPr>
              <w:t xml:space="preserve"># </w:t>
            </w:r>
            <w:proofErr w:type="gramStart"/>
            <w:r w:rsidRPr="001C0E42">
              <w:rPr>
                <w:rFonts w:eastAsia="Times New Roman" w:cs="Calibri"/>
                <w:b/>
                <w:bCs/>
                <w:color w:val="222222"/>
              </w:rPr>
              <w:t>of</w:t>
            </w:r>
            <w:proofErr w:type="gramEnd"/>
            <w:r w:rsidRPr="001C0E42">
              <w:rPr>
                <w:rFonts w:eastAsia="Times New Roman" w:cs="Calibri"/>
                <w:b/>
                <w:bCs/>
                <w:color w:val="222222"/>
              </w:rPr>
              <w:t xml:space="preserve"> Units</w:t>
            </w:r>
          </w:p>
        </w:tc>
        <w:tc>
          <w:tcPr>
            <w:tcW w:w="2014" w:type="dxa"/>
            <w:shd w:val="clear" w:color="auto" w:fill="E7E6E6"/>
          </w:tcPr>
          <w:p w14:paraId="1E969760" w14:textId="77777777" w:rsidR="001C0E42" w:rsidRPr="001C0E42" w:rsidRDefault="001C0E42" w:rsidP="001C0E42">
            <w:pPr>
              <w:spacing w:after="240"/>
              <w:contextualSpacing/>
              <w:jc w:val="center"/>
              <w:rPr>
                <w:rFonts w:eastAsia="Times New Roman" w:cs="Calibri"/>
                <w:b/>
                <w:bCs/>
                <w:color w:val="222222"/>
              </w:rPr>
            </w:pPr>
            <w:r w:rsidRPr="001C0E42">
              <w:rPr>
                <w:rFonts w:eastAsia="Times New Roman" w:cs="Calibri"/>
                <w:b/>
                <w:bCs/>
                <w:color w:val="222222"/>
              </w:rPr>
              <w:t>Income Levels</w:t>
            </w:r>
          </w:p>
        </w:tc>
      </w:tr>
      <w:tr w:rsidR="001C0E42" w:rsidRPr="001C0E42" w14:paraId="723882F5" w14:textId="77777777" w:rsidTr="002C1F76">
        <w:trPr>
          <w:jc w:val="center"/>
        </w:trPr>
        <w:tc>
          <w:tcPr>
            <w:tcW w:w="2073" w:type="dxa"/>
          </w:tcPr>
          <w:p w14:paraId="53DB9C24"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1br</w:t>
            </w:r>
          </w:p>
        </w:tc>
        <w:tc>
          <w:tcPr>
            <w:tcW w:w="2073" w:type="dxa"/>
          </w:tcPr>
          <w:p w14:paraId="2B020332" w14:textId="77777777" w:rsidR="001C0E42" w:rsidRPr="001C0E42" w:rsidRDefault="001C0E42" w:rsidP="001C0E42">
            <w:pPr>
              <w:spacing w:after="240"/>
              <w:contextualSpacing/>
              <w:rPr>
                <w:rFonts w:eastAsia="Times New Roman" w:cs="Calibri"/>
                <w:color w:val="222222"/>
              </w:rPr>
            </w:pPr>
            <w:r w:rsidRPr="001C0E42">
              <w:rPr>
                <w:rFonts w:eastAsia="Times New Roman" w:cs="Calibri"/>
                <w:color w:val="222222"/>
              </w:rPr>
              <w:t>4</w:t>
            </w:r>
          </w:p>
        </w:tc>
        <w:tc>
          <w:tcPr>
            <w:tcW w:w="2014" w:type="dxa"/>
          </w:tcPr>
          <w:p w14:paraId="07416125"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60% AMI</w:t>
            </w:r>
          </w:p>
        </w:tc>
      </w:tr>
      <w:tr w:rsidR="001C0E42" w:rsidRPr="001C0E42" w14:paraId="043EFB1D" w14:textId="77777777" w:rsidTr="002C1F76">
        <w:trPr>
          <w:jc w:val="center"/>
        </w:trPr>
        <w:tc>
          <w:tcPr>
            <w:tcW w:w="2073" w:type="dxa"/>
          </w:tcPr>
          <w:p w14:paraId="7D04EBE2"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1br</w:t>
            </w:r>
          </w:p>
        </w:tc>
        <w:tc>
          <w:tcPr>
            <w:tcW w:w="2073" w:type="dxa"/>
          </w:tcPr>
          <w:p w14:paraId="40DA391C" w14:textId="77777777" w:rsidR="001C0E42" w:rsidRPr="001C0E42" w:rsidRDefault="001C0E42" w:rsidP="001C0E42">
            <w:pPr>
              <w:spacing w:after="240"/>
              <w:contextualSpacing/>
              <w:rPr>
                <w:rFonts w:eastAsia="Times New Roman" w:cs="Calibri"/>
                <w:color w:val="222222"/>
              </w:rPr>
            </w:pPr>
            <w:r w:rsidRPr="001C0E42">
              <w:rPr>
                <w:rFonts w:eastAsia="Times New Roman" w:cs="Calibri"/>
                <w:color w:val="222222"/>
              </w:rPr>
              <w:t>7</w:t>
            </w:r>
          </w:p>
        </w:tc>
        <w:tc>
          <w:tcPr>
            <w:tcW w:w="2014" w:type="dxa"/>
          </w:tcPr>
          <w:p w14:paraId="0ECDB254"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PWD</w:t>
            </w:r>
          </w:p>
        </w:tc>
      </w:tr>
      <w:tr w:rsidR="001C0E42" w:rsidRPr="001C0E42" w14:paraId="30549F1F" w14:textId="77777777" w:rsidTr="002C1F76">
        <w:trPr>
          <w:jc w:val="center"/>
        </w:trPr>
        <w:tc>
          <w:tcPr>
            <w:tcW w:w="2073" w:type="dxa"/>
          </w:tcPr>
          <w:p w14:paraId="7F343CA8"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1br</w:t>
            </w:r>
          </w:p>
        </w:tc>
        <w:tc>
          <w:tcPr>
            <w:tcW w:w="2073" w:type="dxa"/>
          </w:tcPr>
          <w:p w14:paraId="1207F0EB" w14:textId="77777777" w:rsidR="001C0E42" w:rsidRPr="001C0E42" w:rsidRDefault="001C0E42" w:rsidP="001C0E42">
            <w:pPr>
              <w:spacing w:after="240"/>
              <w:contextualSpacing/>
              <w:rPr>
                <w:rFonts w:eastAsia="Times New Roman" w:cs="Calibri"/>
                <w:color w:val="222222"/>
              </w:rPr>
            </w:pPr>
            <w:r w:rsidRPr="001C0E42">
              <w:rPr>
                <w:rFonts w:eastAsia="Times New Roman" w:cs="Calibri"/>
                <w:color w:val="222222"/>
              </w:rPr>
              <w:t>4</w:t>
            </w:r>
          </w:p>
        </w:tc>
        <w:tc>
          <w:tcPr>
            <w:tcW w:w="2014" w:type="dxa"/>
          </w:tcPr>
          <w:p w14:paraId="55B232D3"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HPH</w:t>
            </w:r>
          </w:p>
        </w:tc>
      </w:tr>
      <w:tr w:rsidR="001C0E42" w:rsidRPr="001C0E42" w14:paraId="5747CDF6" w14:textId="77777777" w:rsidTr="002C1F76">
        <w:trPr>
          <w:jc w:val="center"/>
        </w:trPr>
        <w:tc>
          <w:tcPr>
            <w:tcW w:w="2073" w:type="dxa"/>
          </w:tcPr>
          <w:p w14:paraId="39693344"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2br</w:t>
            </w:r>
          </w:p>
        </w:tc>
        <w:tc>
          <w:tcPr>
            <w:tcW w:w="2073" w:type="dxa"/>
          </w:tcPr>
          <w:p w14:paraId="13E08ABA" w14:textId="77777777" w:rsidR="001C0E42" w:rsidRPr="001C0E42" w:rsidRDefault="001C0E42" w:rsidP="001C0E42">
            <w:pPr>
              <w:spacing w:after="240"/>
              <w:contextualSpacing/>
              <w:rPr>
                <w:rFonts w:eastAsia="Times New Roman" w:cs="Calibri"/>
                <w:color w:val="222222"/>
              </w:rPr>
            </w:pPr>
            <w:r w:rsidRPr="001C0E42">
              <w:rPr>
                <w:rFonts w:eastAsia="Times New Roman" w:cs="Calibri"/>
                <w:color w:val="222222"/>
              </w:rPr>
              <w:t>27</w:t>
            </w:r>
          </w:p>
        </w:tc>
        <w:tc>
          <w:tcPr>
            <w:tcW w:w="2014" w:type="dxa"/>
          </w:tcPr>
          <w:p w14:paraId="2836BEF0"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60% AMI</w:t>
            </w:r>
          </w:p>
        </w:tc>
      </w:tr>
      <w:tr w:rsidR="001C0E42" w:rsidRPr="001C0E42" w14:paraId="33D8E0C4" w14:textId="77777777" w:rsidTr="002C1F76">
        <w:trPr>
          <w:jc w:val="center"/>
        </w:trPr>
        <w:tc>
          <w:tcPr>
            <w:tcW w:w="2073" w:type="dxa"/>
          </w:tcPr>
          <w:p w14:paraId="78B528DC"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2br</w:t>
            </w:r>
          </w:p>
        </w:tc>
        <w:tc>
          <w:tcPr>
            <w:tcW w:w="2073" w:type="dxa"/>
          </w:tcPr>
          <w:p w14:paraId="58ED7F99" w14:textId="77777777" w:rsidR="001C0E42" w:rsidRPr="001C0E42" w:rsidRDefault="001C0E42" w:rsidP="001C0E42">
            <w:pPr>
              <w:spacing w:after="240"/>
              <w:contextualSpacing/>
              <w:rPr>
                <w:rFonts w:eastAsia="Times New Roman" w:cs="Calibri"/>
                <w:color w:val="222222"/>
              </w:rPr>
            </w:pPr>
            <w:r w:rsidRPr="001C0E42">
              <w:rPr>
                <w:rFonts w:eastAsia="Times New Roman" w:cs="Calibri"/>
                <w:color w:val="222222"/>
              </w:rPr>
              <w:t>3</w:t>
            </w:r>
          </w:p>
        </w:tc>
        <w:tc>
          <w:tcPr>
            <w:tcW w:w="2014" w:type="dxa"/>
          </w:tcPr>
          <w:p w14:paraId="2A44FE34"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HPH</w:t>
            </w:r>
          </w:p>
        </w:tc>
      </w:tr>
      <w:tr w:rsidR="001C0E42" w:rsidRPr="001C0E42" w14:paraId="062D4A4B" w14:textId="77777777" w:rsidTr="002C1F76">
        <w:trPr>
          <w:jc w:val="center"/>
        </w:trPr>
        <w:tc>
          <w:tcPr>
            <w:tcW w:w="2073" w:type="dxa"/>
          </w:tcPr>
          <w:p w14:paraId="22338ACF"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 xml:space="preserve">3br </w:t>
            </w:r>
          </w:p>
        </w:tc>
        <w:tc>
          <w:tcPr>
            <w:tcW w:w="2073" w:type="dxa"/>
          </w:tcPr>
          <w:p w14:paraId="2E60E53E" w14:textId="77777777" w:rsidR="001C0E42" w:rsidRPr="001C0E42" w:rsidRDefault="001C0E42" w:rsidP="001C0E42">
            <w:pPr>
              <w:spacing w:after="240"/>
              <w:contextualSpacing/>
              <w:rPr>
                <w:rFonts w:eastAsia="Times New Roman" w:cs="Calibri"/>
                <w:color w:val="222222"/>
              </w:rPr>
            </w:pPr>
            <w:r w:rsidRPr="001C0E42">
              <w:rPr>
                <w:rFonts w:eastAsia="Times New Roman" w:cs="Calibri"/>
                <w:color w:val="222222"/>
              </w:rPr>
              <w:t>15</w:t>
            </w:r>
          </w:p>
        </w:tc>
        <w:tc>
          <w:tcPr>
            <w:tcW w:w="2014" w:type="dxa"/>
          </w:tcPr>
          <w:p w14:paraId="56473E49" w14:textId="77777777" w:rsidR="001C0E42" w:rsidRPr="001C0E42" w:rsidRDefault="001C0E42" w:rsidP="001C0E42">
            <w:pPr>
              <w:spacing w:after="240"/>
              <w:contextualSpacing/>
              <w:jc w:val="center"/>
              <w:rPr>
                <w:rFonts w:eastAsia="Times New Roman" w:cs="Calibri"/>
                <w:color w:val="222222"/>
              </w:rPr>
            </w:pPr>
            <w:r w:rsidRPr="001C0E42">
              <w:rPr>
                <w:rFonts w:eastAsia="Times New Roman" w:cs="Calibri"/>
                <w:color w:val="222222"/>
              </w:rPr>
              <w:t>60% AMI</w:t>
            </w:r>
          </w:p>
        </w:tc>
      </w:tr>
      <w:tr w:rsidR="001C0E42" w:rsidRPr="001C0E42" w14:paraId="5C864CF9" w14:textId="77777777" w:rsidTr="001C0E42">
        <w:trPr>
          <w:jc w:val="center"/>
        </w:trPr>
        <w:tc>
          <w:tcPr>
            <w:tcW w:w="2073" w:type="dxa"/>
            <w:shd w:val="clear" w:color="auto" w:fill="D9E2F3"/>
          </w:tcPr>
          <w:p w14:paraId="1287D592" w14:textId="77777777" w:rsidR="001C0E42" w:rsidRPr="001C0E42" w:rsidRDefault="001C0E42" w:rsidP="001C0E42">
            <w:pPr>
              <w:spacing w:after="240"/>
              <w:contextualSpacing/>
              <w:jc w:val="center"/>
              <w:rPr>
                <w:rFonts w:eastAsia="Times New Roman" w:cs="Calibri"/>
                <w:b/>
                <w:bCs/>
                <w:color w:val="222222"/>
              </w:rPr>
            </w:pPr>
            <w:r w:rsidRPr="001C0E42">
              <w:rPr>
                <w:rFonts w:eastAsia="Times New Roman" w:cs="Calibri"/>
                <w:b/>
                <w:bCs/>
                <w:color w:val="222222"/>
              </w:rPr>
              <w:t>Total:</w:t>
            </w:r>
          </w:p>
        </w:tc>
        <w:tc>
          <w:tcPr>
            <w:tcW w:w="4087" w:type="dxa"/>
            <w:gridSpan w:val="2"/>
            <w:shd w:val="clear" w:color="auto" w:fill="D9E2F3"/>
          </w:tcPr>
          <w:p w14:paraId="00190FF8" w14:textId="77777777" w:rsidR="001C0E42" w:rsidRPr="001C0E42" w:rsidRDefault="001C0E42" w:rsidP="001C0E42">
            <w:pPr>
              <w:spacing w:after="240"/>
              <w:contextualSpacing/>
              <w:rPr>
                <w:rFonts w:eastAsia="Times New Roman" w:cs="Calibri"/>
                <w:b/>
                <w:bCs/>
                <w:color w:val="222222"/>
              </w:rPr>
            </w:pPr>
            <w:r w:rsidRPr="001C0E42">
              <w:rPr>
                <w:rFonts w:eastAsia="Times New Roman" w:cs="Calibri"/>
                <w:b/>
                <w:bCs/>
                <w:color w:val="222222"/>
              </w:rPr>
              <w:t>60</w:t>
            </w:r>
          </w:p>
        </w:tc>
      </w:tr>
    </w:tbl>
    <w:p w14:paraId="5AC15090" w14:textId="77777777" w:rsidR="001C0E42" w:rsidRDefault="001C0E42" w:rsidP="001C0E42">
      <w:pPr>
        <w:spacing w:after="0" w:line="240" w:lineRule="auto"/>
      </w:pPr>
    </w:p>
    <w:p w14:paraId="2BD9A7CF" w14:textId="77777777" w:rsidR="001C0E42" w:rsidRPr="001C0E42" w:rsidRDefault="001C0E42" w:rsidP="001C0E42">
      <w:pPr>
        <w:shd w:val="clear" w:color="auto" w:fill="FFFFFF"/>
        <w:spacing w:after="0" w:line="240" w:lineRule="auto"/>
        <w:jc w:val="both"/>
        <w:rPr>
          <w:rFonts w:ascii="Calibri" w:eastAsia="Calibri" w:hAnsi="Calibri" w:cs="Times New Roman"/>
          <w:color w:val="222222"/>
        </w:rPr>
      </w:pPr>
      <w:r w:rsidRPr="001C0E42">
        <w:rPr>
          <w:rFonts w:ascii="Calibri" w:eastAsia="Calibri" w:hAnsi="Calibri" w:cs="Times New Roman"/>
          <w:color w:val="222222"/>
        </w:rPr>
        <w:t>Would intend to incorporate 7 units as High Priority Homeless (HPH). They would include both 1bdrm and 2bdrm units. As that breakdown is finalized, it would be provided accordingly but would fit within the framework above</w:t>
      </w:r>
    </w:p>
    <w:p w14:paraId="58076BB1" w14:textId="77777777" w:rsidR="001C0E42" w:rsidRPr="001C0E42" w:rsidRDefault="001C0E42" w:rsidP="001C0E42">
      <w:pPr>
        <w:shd w:val="clear" w:color="auto" w:fill="FFFFFF"/>
        <w:spacing w:after="0" w:line="240" w:lineRule="auto"/>
        <w:jc w:val="both"/>
        <w:rPr>
          <w:rFonts w:ascii="Calibri" w:eastAsia="Calibri" w:hAnsi="Calibri" w:cs="Times New Roman"/>
          <w:color w:val="222222"/>
        </w:rPr>
      </w:pPr>
      <w:r w:rsidRPr="001C0E42">
        <w:rPr>
          <w:rFonts w:ascii="Calibri" w:eastAsia="Calibri" w:hAnsi="Calibri" w:cs="Times New Roman"/>
          <w:color w:val="222222"/>
        </w:rPr>
        <w:t>7 units would also be dedicated as Persons with Disabilities (PWD) units – all 1bdrm units. The CDA has received a preliminary determination for Section 811 funding for all seven units.</w:t>
      </w:r>
    </w:p>
    <w:p w14:paraId="2FBB47AF" w14:textId="77777777" w:rsidR="001C0E42" w:rsidRPr="001C0E42" w:rsidRDefault="001C0E42" w:rsidP="001C0E42">
      <w:pPr>
        <w:shd w:val="clear" w:color="auto" w:fill="FFFFFF"/>
        <w:spacing w:after="0" w:line="240" w:lineRule="auto"/>
        <w:jc w:val="both"/>
        <w:rPr>
          <w:rFonts w:ascii="Calibri" w:eastAsia="Calibri" w:hAnsi="Calibri" w:cs="Times New Roman"/>
          <w:color w:val="222222"/>
        </w:rPr>
      </w:pPr>
    </w:p>
    <w:p w14:paraId="3EB9CB02" w14:textId="77777777" w:rsidR="001C0E42" w:rsidRPr="001C0E42" w:rsidRDefault="001C0E42" w:rsidP="001C0E42">
      <w:pPr>
        <w:shd w:val="clear" w:color="auto" w:fill="FFFFFF"/>
        <w:spacing w:after="0" w:line="240" w:lineRule="auto"/>
        <w:jc w:val="both"/>
        <w:rPr>
          <w:rFonts w:ascii="Calibri" w:eastAsia="Calibri" w:hAnsi="Calibri" w:cs="Times New Roman"/>
          <w:color w:val="222222"/>
        </w:rPr>
      </w:pPr>
      <w:r w:rsidRPr="001C0E42">
        <w:rPr>
          <w:rFonts w:ascii="Calibri" w:eastAsia="Calibri" w:hAnsi="Calibri" w:cs="Times New Roman"/>
          <w:color w:val="222222"/>
        </w:rPr>
        <w:lastRenderedPageBreak/>
        <w:t>Carver Oaks and Carver Place will complement each other. The project will consist of two components, family workforce general occupancy (60 units) and senior (43 units) and joined by shared community space</w:t>
      </w:r>
    </w:p>
    <w:p w14:paraId="21E7D827" w14:textId="77777777" w:rsidR="001C0E42" w:rsidRPr="001C0E42" w:rsidRDefault="001C0E42" w:rsidP="001C0E42">
      <w:pPr>
        <w:shd w:val="clear" w:color="auto" w:fill="FFFFFF"/>
        <w:spacing w:after="0" w:line="240" w:lineRule="auto"/>
        <w:jc w:val="both"/>
        <w:rPr>
          <w:rFonts w:ascii="Calibri" w:eastAsia="Calibri" w:hAnsi="Calibri" w:cs="Times New Roman"/>
          <w:color w:val="222222"/>
        </w:rPr>
      </w:pPr>
      <w:r w:rsidRPr="001C0E42">
        <w:rPr>
          <w:rFonts w:ascii="Calibri" w:eastAsia="Calibri" w:hAnsi="Calibri" w:cs="Times New Roman"/>
          <w:color w:val="222222"/>
        </w:rPr>
        <w:t>No priorities outside of those receiving referrals through Coordinated Entry/Vet Registry</w:t>
      </w:r>
    </w:p>
    <w:p w14:paraId="471A6F92" w14:textId="77777777" w:rsidR="001C0E42" w:rsidRPr="001C0E42" w:rsidRDefault="001C0E42" w:rsidP="001C0E42">
      <w:pPr>
        <w:shd w:val="clear" w:color="auto" w:fill="FFFFFF"/>
        <w:spacing w:after="0" w:line="240" w:lineRule="auto"/>
        <w:jc w:val="both"/>
        <w:rPr>
          <w:rFonts w:ascii="Calibri" w:eastAsia="Calibri" w:hAnsi="Calibri" w:cs="Times New Roman"/>
          <w:color w:val="222222"/>
        </w:rPr>
      </w:pPr>
      <w:r w:rsidRPr="001C0E42">
        <w:rPr>
          <w:rFonts w:ascii="Calibri" w:eastAsia="Calibri" w:hAnsi="Calibri" w:cs="Times New Roman"/>
          <w:color w:val="222222"/>
        </w:rPr>
        <w:t>Revised screening criteria when HUD updated their recommended criterion policies</w:t>
      </w:r>
    </w:p>
    <w:p w14:paraId="5C36FD18" w14:textId="77777777" w:rsidR="001C0E42" w:rsidRPr="001C0E42" w:rsidRDefault="001C0E42" w:rsidP="001C0E42">
      <w:pPr>
        <w:shd w:val="clear" w:color="auto" w:fill="FFFFFF"/>
        <w:spacing w:after="0" w:line="240" w:lineRule="auto"/>
        <w:jc w:val="both"/>
        <w:rPr>
          <w:rFonts w:ascii="Calibri" w:eastAsia="Calibri" w:hAnsi="Calibri" w:cs="Times New Roman"/>
          <w:color w:val="222222"/>
        </w:rPr>
      </w:pPr>
      <w:r w:rsidRPr="001C0E42">
        <w:rPr>
          <w:rFonts w:ascii="Calibri" w:eastAsia="Calibri" w:hAnsi="Calibri" w:cs="Times New Roman"/>
          <w:color w:val="222222"/>
        </w:rPr>
        <w:t>Typically reviews eviction screenings for 3 years and 7 years for criminal, but retains flexibility within this approach</w:t>
      </w:r>
    </w:p>
    <w:p w14:paraId="44985F61" w14:textId="77777777" w:rsidR="001C0E42" w:rsidRPr="001C0E42" w:rsidRDefault="001C0E42" w:rsidP="001C0E42">
      <w:pPr>
        <w:shd w:val="clear" w:color="auto" w:fill="FFFFFF"/>
        <w:spacing w:after="0" w:line="240" w:lineRule="auto"/>
        <w:jc w:val="both"/>
        <w:rPr>
          <w:rFonts w:ascii="Calibri" w:eastAsia="Calibri" w:hAnsi="Calibri" w:cs="Times New Roman"/>
          <w:color w:val="222222"/>
        </w:rPr>
      </w:pPr>
      <w:r w:rsidRPr="001C0E42">
        <w:rPr>
          <w:rFonts w:ascii="Calibri" w:eastAsia="Calibri" w:hAnsi="Calibri" w:cs="Times New Roman"/>
          <w:color w:val="222222"/>
        </w:rPr>
        <w:t>Past-due money owed would serve as a potential inhibiter for prospective tenants</w:t>
      </w:r>
    </w:p>
    <w:p w14:paraId="248FE807" w14:textId="77777777" w:rsidR="001C0E42" w:rsidRPr="001C0E42" w:rsidRDefault="001C0E42" w:rsidP="001C0E42">
      <w:pPr>
        <w:shd w:val="clear" w:color="auto" w:fill="FFFFFF"/>
        <w:spacing w:after="0" w:line="240" w:lineRule="auto"/>
        <w:jc w:val="both"/>
        <w:rPr>
          <w:rFonts w:ascii="Calibri" w:eastAsia="Calibri" w:hAnsi="Calibri" w:cs="Times New Roman"/>
          <w:color w:val="222222"/>
        </w:rPr>
      </w:pPr>
      <w:r w:rsidRPr="001C0E42">
        <w:rPr>
          <w:rFonts w:ascii="Calibri" w:eastAsia="Calibri" w:hAnsi="Calibri" w:cs="Times New Roman"/>
          <w:color w:val="222222"/>
        </w:rPr>
        <w:t>Are seeking Equitable Development Points for these two projects. Have worked to connect further with:</w:t>
      </w:r>
    </w:p>
    <w:p w14:paraId="3FC51B93" w14:textId="77777777" w:rsidR="001C0E42" w:rsidRPr="001C0E42" w:rsidRDefault="001C0E42" w:rsidP="001C0E42">
      <w:pPr>
        <w:shd w:val="clear" w:color="auto" w:fill="FFFFFF"/>
        <w:spacing w:after="0" w:line="240" w:lineRule="auto"/>
        <w:ind w:left="720"/>
        <w:jc w:val="both"/>
        <w:rPr>
          <w:rFonts w:ascii="Calibri" w:eastAsia="Calibri" w:hAnsi="Calibri" w:cs="Times New Roman"/>
          <w:color w:val="222222"/>
        </w:rPr>
      </w:pPr>
      <w:r w:rsidRPr="001C0E42">
        <w:rPr>
          <w:rFonts w:ascii="Calibri" w:eastAsia="Calibri" w:hAnsi="Calibri" w:cs="Times New Roman"/>
          <w:color w:val="222222"/>
        </w:rPr>
        <w:t>Chanhassen Senior Center</w:t>
      </w:r>
    </w:p>
    <w:p w14:paraId="07BFB7BD" w14:textId="77777777" w:rsidR="001C0E42" w:rsidRPr="001C0E42" w:rsidRDefault="001C0E42" w:rsidP="001C0E42">
      <w:pPr>
        <w:shd w:val="clear" w:color="auto" w:fill="FFFFFF"/>
        <w:spacing w:after="0" w:line="240" w:lineRule="auto"/>
        <w:ind w:left="720"/>
        <w:jc w:val="both"/>
        <w:rPr>
          <w:rFonts w:ascii="Calibri" w:eastAsia="Calibri" w:hAnsi="Calibri" w:cs="Times New Roman"/>
          <w:color w:val="222222"/>
        </w:rPr>
      </w:pPr>
      <w:r w:rsidRPr="001C0E42">
        <w:rPr>
          <w:rFonts w:ascii="Calibri" w:eastAsia="Calibri" w:hAnsi="Calibri" w:cs="Times New Roman"/>
          <w:color w:val="222222"/>
        </w:rPr>
        <w:t>His House – General Occupancy</w:t>
      </w:r>
    </w:p>
    <w:p w14:paraId="4F697BD8" w14:textId="77777777" w:rsidR="001C0E42" w:rsidRDefault="001C0E42" w:rsidP="001C0E42">
      <w:pPr>
        <w:spacing w:after="0" w:line="240" w:lineRule="auto"/>
      </w:pPr>
    </w:p>
    <w:p w14:paraId="4F95C64A" w14:textId="063CC5EF" w:rsidR="006F0050" w:rsidRDefault="001C0E42" w:rsidP="001C0E42">
      <w:pPr>
        <w:spacing w:after="0" w:line="240" w:lineRule="auto"/>
      </w:pPr>
      <w:r w:rsidRPr="001C0E42">
        <w:rPr>
          <w:b/>
          <w:bCs/>
        </w:rPr>
        <w:t>Victoria Apartments</w:t>
      </w:r>
      <w:r>
        <w:t xml:space="preserve">: Victoria: 40 Unit Development, Sand Companies. 4 HPH (through CE) &amp; 5 PWD would be referrals through Carver County Health and Human Services. </w:t>
      </w:r>
    </w:p>
    <w:p w14:paraId="535BAA7E" w14:textId="08B606D0" w:rsidR="001C0E42" w:rsidRDefault="001C0E42" w:rsidP="001C0E42">
      <w:pPr>
        <w:shd w:val="clear" w:color="auto" w:fill="FFFFFF" w:themeFill="background1"/>
        <w:spacing w:after="0" w:line="240" w:lineRule="auto"/>
        <w:jc w:val="both"/>
        <w:rPr>
          <w:rFonts w:eastAsia="Times New Roman" w:cs="Calibri"/>
          <w:color w:val="222222"/>
        </w:rPr>
      </w:pPr>
      <w:r>
        <w:rPr>
          <w:rFonts w:eastAsia="Times New Roman" w:cs="Calibri"/>
          <w:color w:val="222222"/>
        </w:rPr>
        <w:t>Noted that project design was very early in the process, but wanted to ensure that they were getting this in front of us to pursue CoC support</w:t>
      </w:r>
    </w:p>
    <w:p w14:paraId="322BB664" w14:textId="77777777" w:rsidR="001C0E42" w:rsidRDefault="001C0E42" w:rsidP="001C0E42">
      <w:pPr>
        <w:shd w:val="clear" w:color="auto" w:fill="FFFFFF" w:themeFill="background1"/>
        <w:spacing w:after="0" w:line="240" w:lineRule="auto"/>
        <w:ind w:left="720"/>
        <w:jc w:val="both"/>
        <w:rPr>
          <w:rFonts w:eastAsia="Times New Roman" w:cs="Calibri"/>
          <w:color w:val="222222"/>
        </w:rPr>
      </w:pPr>
      <w:r>
        <w:rPr>
          <w:rFonts w:eastAsia="Times New Roman" w:cs="Calibri"/>
          <w:color w:val="222222"/>
        </w:rPr>
        <w:t>Single Adults Households are identified priority. All HPH &amp; PWD units are slated as 1bdrm but are open to further discussion</w:t>
      </w:r>
    </w:p>
    <w:p w14:paraId="5200DEE3" w14:textId="77777777" w:rsidR="001C0E42" w:rsidRDefault="001C0E42" w:rsidP="001C0E42">
      <w:pPr>
        <w:shd w:val="clear" w:color="auto" w:fill="FFFFFF" w:themeFill="background1"/>
        <w:spacing w:after="0" w:line="240" w:lineRule="auto"/>
        <w:ind w:left="720"/>
        <w:jc w:val="both"/>
        <w:rPr>
          <w:rFonts w:eastAsia="Times New Roman" w:cs="Calibri"/>
          <w:color w:val="222222"/>
        </w:rPr>
      </w:pPr>
      <w:r>
        <w:rPr>
          <w:rFonts w:eastAsia="Times New Roman" w:cs="Calibri"/>
          <w:color w:val="222222"/>
        </w:rPr>
        <w:t>Meeting getting set with service provider, developer, and Carver County to discuss opportunities</w:t>
      </w:r>
    </w:p>
    <w:p w14:paraId="06738C06" w14:textId="77777777" w:rsidR="001C0E42" w:rsidRDefault="001C0E42" w:rsidP="001C0E42">
      <w:pPr>
        <w:shd w:val="clear" w:color="auto" w:fill="FFFFFF" w:themeFill="background1"/>
        <w:spacing w:after="0" w:line="240" w:lineRule="auto"/>
        <w:jc w:val="both"/>
        <w:rPr>
          <w:rFonts w:eastAsia="Times New Roman" w:cs="Calibri"/>
          <w:color w:val="222222"/>
        </w:rPr>
      </w:pPr>
      <w:r>
        <w:rPr>
          <w:rFonts w:eastAsia="Times New Roman" w:cs="Calibri"/>
          <w:color w:val="222222"/>
        </w:rPr>
        <w:t xml:space="preserve">On-site will offer Type A accessible units in varying unit sizes. </w:t>
      </w:r>
    </w:p>
    <w:p w14:paraId="19CF88B1" w14:textId="77777777" w:rsidR="001C0E42" w:rsidRDefault="001C0E42" w:rsidP="001C0E42">
      <w:pPr>
        <w:shd w:val="clear" w:color="auto" w:fill="FFFFFF" w:themeFill="background1"/>
        <w:spacing w:after="0" w:line="240" w:lineRule="auto"/>
        <w:jc w:val="both"/>
        <w:rPr>
          <w:rFonts w:eastAsia="Times New Roman" w:cs="Calibri"/>
          <w:color w:val="222222"/>
        </w:rPr>
      </w:pPr>
      <w:r>
        <w:rPr>
          <w:rFonts w:eastAsia="Times New Roman" w:cs="Calibri"/>
          <w:color w:val="222222"/>
        </w:rPr>
        <w:t>Will be meeting with Carver County to explore if they’d staff PWD units – would overlap with HPH Rate 1</w:t>
      </w:r>
    </w:p>
    <w:p w14:paraId="49BB9EDB" w14:textId="77777777" w:rsidR="001C0E42" w:rsidRDefault="001C0E42" w:rsidP="001C0E42">
      <w:pPr>
        <w:shd w:val="clear" w:color="auto" w:fill="FFFFFF" w:themeFill="background1"/>
        <w:spacing w:after="0" w:line="240" w:lineRule="auto"/>
        <w:jc w:val="both"/>
        <w:rPr>
          <w:rFonts w:eastAsia="Times New Roman" w:cs="Calibri"/>
          <w:color w:val="222222"/>
        </w:rPr>
      </w:pPr>
      <w:r>
        <w:rPr>
          <w:rFonts w:eastAsia="Times New Roman" w:cs="Calibri"/>
          <w:color w:val="222222"/>
        </w:rPr>
        <w:t>Would seek to pursue HPH-Rate 2 if unable to pursue separate PWD process for those units</w:t>
      </w:r>
    </w:p>
    <w:p w14:paraId="3DCA0602" w14:textId="32F86865" w:rsidR="001C0E42" w:rsidRDefault="001C0E42" w:rsidP="001C0E42">
      <w:pPr>
        <w:shd w:val="clear" w:color="auto" w:fill="FFFFFF" w:themeFill="background1"/>
        <w:spacing w:after="0" w:line="240" w:lineRule="auto"/>
        <w:jc w:val="both"/>
        <w:rPr>
          <w:rFonts w:eastAsia="Times New Roman" w:cs="Calibri"/>
          <w:color w:val="222222"/>
        </w:rPr>
      </w:pPr>
      <w:r>
        <w:rPr>
          <w:rFonts w:eastAsia="Times New Roman" w:cs="Calibri"/>
          <w:color w:val="222222"/>
        </w:rPr>
        <w:t>HPH Units would use Housing Support-Rate 2 and be referred through Coordinated Entry</w:t>
      </w:r>
    </w:p>
    <w:p w14:paraId="0A555B63" w14:textId="77777777" w:rsidR="001C0E42" w:rsidRDefault="001C0E42" w:rsidP="001C0E42">
      <w:pPr>
        <w:shd w:val="clear" w:color="auto" w:fill="FFFFFF" w:themeFill="background1"/>
        <w:spacing w:after="0" w:line="240" w:lineRule="auto"/>
        <w:jc w:val="both"/>
        <w:rPr>
          <w:rFonts w:eastAsia="Times New Roman" w:cs="Calibri"/>
          <w:color w:val="222222"/>
        </w:rPr>
      </w:pPr>
      <w:r>
        <w:rPr>
          <w:rFonts w:eastAsia="Times New Roman" w:cs="Calibri"/>
          <w:color w:val="222222"/>
        </w:rPr>
        <w:t>CommonBond Communities would be service provider (</w:t>
      </w:r>
      <w:r w:rsidRPr="00B37376">
        <w:rPr>
          <w:rFonts w:eastAsia="Times New Roman" w:cs="Calibri"/>
          <w:i/>
          <w:iCs/>
          <w:color w:val="222222"/>
        </w:rPr>
        <w:t>100 units of Supportive Housing in portfolio and works with CommonBond on a number of these properties)</w:t>
      </w:r>
    </w:p>
    <w:p w14:paraId="00A563FD" w14:textId="77777777" w:rsidR="001C0E42" w:rsidRDefault="001C0E42" w:rsidP="001C0E42">
      <w:pPr>
        <w:spacing w:after="0" w:line="240" w:lineRule="auto"/>
      </w:pPr>
    </w:p>
    <w:p w14:paraId="7952AF9F" w14:textId="58F9A9E4" w:rsidR="001C0E42" w:rsidRDefault="001C0E42" w:rsidP="001C0E42">
      <w:pPr>
        <w:spacing w:after="0" w:line="240" w:lineRule="auto"/>
        <w:jc w:val="both"/>
      </w:pPr>
      <w:r w:rsidRPr="001C0E42">
        <w:rPr>
          <w:highlight w:val="yellow"/>
        </w:rPr>
        <w:t>Dakota County</w:t>
      </w:r>
      <w:r>
        <w:t>: 2 Projects (Denmark Trail Townhomes (Dakota CDA) &amp; The Parkway (MWF))</w:t>
      </w:r>
    </w:p>
    <w:p w14:paraId="54FEC027" w14:textId="44051117" w:rsidR="001C0E42" w:rsidRDefault="001C0E42" w:rsidP="001C0E42">
      <w:pPr>
        <w:spacing w:after="0" w:line="240" w:lineRule="auto"/>
        <w:jc w:val="both"/>
      </w:pPr>
      <w:r w:rsidRPr="001C0E42">
        <w:rPr>
          <w:b/>
          <w:bCs/>
        </w:rPr>
        <w:t>Denmark Trail Townhomes</w:t>
      </w:r>
      <w:r>
        <w:t xml:space="preserve"> – 40 units townhome development, 1-4bdrm units, will include HPH units for the first time (1 2bdrm &amp; 1 3bdrm), which will be filled via CE and a set-aside process to connect with Dakota County Social Services. Dakota CDA is the largest landlord in Dakota County and has experience offering a myriad of different types of housing communities. Really in favor of HPH family units. Listed contract rent is geared towards supporting working professionals, though they are willing to accept voucher recipients. Tenancy screening discussions haven’t yet happened but identified that they are willing to look at each household on a case-by-case basis. Expecting a lot of children in this development so noted the need to strike a balance. </w:t>
      </w:r>
    </w:p>
    <w:p w14:paraId="5CD0DD80" w14:textId="77777777" w:rsidR="001C0E42" w:rsidRDefault="001C0E42" w:rsidP="001C0E42">
      <w:pPr>
        <w:spacing w:after="0" w:line="240" w:lineRule="auto"/>
        <w:jc w:val="both"/>
        <w:rPr>
          <w:b/>
          <w:bCs/>
        </w:rPr>
      </w:pPr>
    </w:p>
    <w:p w14:paraId="2AB2698D" w14:textId="5F9E73E4" w:rsidR="001C0E42" w:rsidRDefault="001C0E42" w:rsidP="001C0E42">
      <w:pPr>
        <w:spacing w:after="0" w:line="240" w:lineRule="auto"/>
        <w:jc w:val="both"/>
      </w:pPr>
      <w:r w:rsidRPr="001C0E42">
        <w:rPr>
          <w:b/>
          <w:bCs/>
        </w:rPr>
        <w:t>The Parkway</w:t>
      </w:r>
      <w:r>
        <w:t xml:space="preserve"> - Allowing households to go through CE for set-aside units. MWF willing to take vouchers and other CE adjacent housing programming. Multiple units set aside for people with accessibility needs throughout the development. Added additional HPH units within their proposal and included 2 3bdrm units.</w:t>
      </w:r>
    </w:p>
    <w:p w14:paraId="4D33C0AA" w14:textId="77777777" w:rsidR="001C0E42" w:rsidRDefault="001C0E42" w:rsidP="001C0E42">
      <w:pPr>
        <w:spacing w:after="0" w:line="240" w:lineRule="auto"/>
      </w:pPr>
    </w:p>
    <w:p w14:paraId="043EA119" w14:textId="74724A6F" w:rsidR="001C0E42" w:rsidRPr="001C0E42" w:rsidRDefault="001C0E42" w:rsidP="001C0E42">
      <w:pPr>
        <w:spacing w:after="0" w:line="240" w:lineRule="auto"/>
      </w:pPr>
      <w:r>
        <w:rPr>
          <w:highlight w:val="yellow"/>
        </w:rPr>
        <w:t>Scott County</w:t>
      </w:r>
      <w:r w:rsidRPr="001C0E42">
        <w:t>: 2 Projects (Main Street Lofts (MWF) &amp; Prairie Pointe (Beacon))</w:t>
      </w:r>
    </w:p>
    <w:p w14:paraId="795DDFC3" w14:textId="0AC328E3" w:rsidR="001C0E42" w:rsidRPr="001C0E42" w:rsidRDefault="001C0E42" w:rsidP="001C0E42">
      <w:pPr>
        <w:shd w:val="clear" w:color="auto" w:fill="FFFFFF" w:themeFill="background1"/>
        <w:spacing w:after="0" w:line="240" w:lineRule="auto"/>
        <w:rPr>
          <w:color w:val="222222"/>
        </w:rPr>
      </w:pPr>
      <w:r w:rsidRPr="001C0E42">
        <w:rPr>
          <w:rFonts w:eastAsia="Times New Roman" w:cs="Calibri"/>
          <w:b/>
          <w:bCs/>
          <w:i/>
          <w:iCs/>
          <w:color w:val="222222"/>
        </w:rPr>
        <w:t>Main Street Lofts</w:t>
      </w:r>
      <w:r w:rsidRPr="001C0E42">
        <w:rPr>
          <w:rFonts w:eastAsia="Times New Roman" w:cs="Calibri"/>
          <w:color w:val="222222"/>
        </w:rPr>
        <w:t xml:space="preserve">: </w:t>
      </w:r>
    </w:p>
    <w:p w14:paraId="215E3D18" w14:textId="77777777" w:rsidR="001C0E42" w:rsidRPr="00F6160D" w:rsidRDefault="001C0E42" w:rsidP="001C0E42">
      <w:pPr>
        <w:shd w:val="clear" w:color="auto" w:fill="FFFFFF"/>
        <w:spacing w:after="240"/>
        <w:contextualSpacing/>
        <w:jc w:val="both"/>
        <w:rPr>
          <w:rFonts w:eastAsia="Times New Roman" w:cs="Calibri"/>
          <w:color w:val="222222"/>
        </w:rPr>
      </w:pPr>
      <w:r w:rsidRPr="00F6160D">
        <w:rPr>
          <w:rFonts w:eastAsia="Times New Roman" w:cs="Calibri"/>
          <w:color w:val="222222"/>
        </w:rPr>
        <w:t>Property Location: Elko New Market</w:t>
      </w:r>
    </w:p>
    <w:p w14:paraId="375A81EF" w14:textId="77777777" w:rsidR="001C0E42" w:rsidRPr="00F6160D" w:rsidRDefault="001C0E42" w:rsidP="001C0E42">
      <w:pPr>
        <w:shd w:val="clear" w:color="auto" w:fill="FFFFFF"/>
        <w:spacing w:after="240"/>
        <w:contextualSpacing/>
        <w:jc w:val="both"/>
        <w:rPr>
          <w:rFonts w:eastAsia="Times New Roman" w:cs="Calibri"/>
          <w:color w:val="222222"/>
        </w:rPr>
      </w:pPr>
      <w:r w:rsidRPr="00F6160D">
        <w:rPr>
          <w:rFonts w:eastAsia="Times New Roman" w:cs="Calibri"/>
          <w:color w:val="222222"/>
        </w:rPr>
        <w:t>Developer: MWF Properties (Joseph Development, LLC)</w:t>
      </w:r>
    </w:p>
    <w:p w14:paraId="26377ADA" w14:textId="77777777" w:rsidR="001C0E42" w:rsidRPr="00F6160D" w:rsidRDefault="001C0E42" w:rsidP="001C0E42">
      <w:pPr>
        <w:shd w:val="clear" w:color="auto" w:fill="FFFFFF"/>
        <w:spacing w:after="240"/>
        <w:contextualSpacing/>
        <w:jc w:val="both"/>
        <w:rPr>
          <w:rFonts w:eastAsia="Times New Roman" w:cs="Calibri"/>
          <w:color w:val="222222"/>
        </w:rPr>
      </w:pPr>
      <w:r w:rsidRPr="00F6160D">
        <w:rPr>
          <w:rFonts w:eastAsia="Times New Roman" w:cs="Calibri"/>
          <w:color w:val="222222"/>
        </w:rPr>
        <w:t>Supportive Housing Provider: Community Action Partnership of Scott Carver &amp; Dakota Counties</w:t>
      </w:r>
    </w:p>
    <w:p w14:paraId="3970CC8C" w14:textId="77777777" w:rsidR="001C0E42" w:rsidRPr="00F6160D" w:rsidRDefault="001C0E42" w:rsidP="001C0E42">
      <w:pPr>
        <w:shd w:val="clear" w:color="auto" w:fill="FFFFFF"/>
        <w:spacing w:after="240"/>
        <w:contextualSpacing/>
        <w:jc w:val="both"/>
        <w:rPr>
          <w:rFonts w:eastAsia="Times New Roman" w:cs="Calibri"/>
          <w:color w:val="222222"/>
        </w:rPr>
      </w:pPr>
      <w:r w:rsidRPr="00F6160D">
        <w:rPr>
          <w:rFonts w:eastAsia="Times New Roman" w:cs="Calibri"/>
          <w:color w:val="222222"/>
        </w:rPr>
        <w:t>Unit Breakdown:</w:t>
      </w:r>
    </w:p>
    <w:tbl>
      <w:tblPr>
        <w:tblStyle w:val="TableGrid"/>
        <w:tblW w:w="0" w:type="auto"/>
        <w:jc w:val="center"/>
        <w:tblLook w:val="04A0" w:firstRow="1" w:lastRow="0" w:firstColumn="1" w:lastColumn="0" w:noHBand="0" w:noVBand="1"/>
      </w:tblPr>
      <w:tblGrid>
        <w:gridCol w:w="2073"/>
        <w:gridCol w:w="2073"/>
        <w:gridCol w:w="2014"/>
      </w:tblGrid>
      <w:tr w:rsidR="001C0E42" w14:paraId="09A2B464" w14:textId="77777777" w:rsidTr="002C1F76">
        <w:trPr>
          <w:jc w:val="center"/>
        </w:trPr>
        <w:tc>
          <w:tcPr>
            <w:tcW w:w="2073" w:type="dxa"/>
            <w:shd w:val="clear" w:color="auto" w:fill="E7E6E6" w:themeFill="background2"/>
          </w:tcPr>
          <w:p w14:paraId="3763D80C" w14:textId="77777777" w:rsidR="001C0E42" w:rsidRPr="00030E27" w:rsidRDefault="001C0E42" w:rsidP="002C1F76">
            <w:pPr>
              <w:spacing w:after="240"/>
              <w:contextualSpacing/>
              <w:jc w:val="center"/>
              <w:rPr>
                <w:rFonts w:eastAsia="Times New Roman" w:cs="Calibri"/>
                <w:b/>
                <w:bCs/>
                <w:color w:val="222222"/>
              </w:rPr>
            </w:pPr>
            <w:r w:rsidRPr="00030E27">
              <w:rPr>
                <w:rFonts w:eastAsia="Times New Roman" w:cs="Calibri"/>
                <w:b/>
                <w:bCs/>
                <w:color w:val="222222"/>
              </w:rPr>
              <w:t>Unit Type</w:t>
            </w:r>
          </w:p>
        </w:tc>
        <w:tc>
          <w:tcPr>
            <w:tcW w:w="2073" w:type="dxa"/>
            <w:shd w:val="clear" w:color="auto" w:fill="E7E6E6" w:themeFill="background2"/>
          </w:tcPr>
          <w:p w14:paraId="0C641F40" w14:textId="77777777" w:rsidR="001C0E42" w:rsidRPr="00030E27" w:rsidRDefault="001C0E42" w:rsidP="002C1F76">
            <w:pPr>
              <w:spacing w:after="240"/>
              <w:contextualSpacing/>
              <w:jc w:val="center"/>
              <w:rPr>
                <w:rFonts w:eastAsia="Times New Roman" w:cs="Calibri"/>
                <w:b/>
                <w:bCs/>
                <w:color w:val="222222"/>
              </w:rPr>
            </w:pPr>
            <w:r w:rsidRPr="00030E27">
              <w:rPr>
                <w:rFonts w:eastAsia="Times New Roman" w:cs="Calibri"/>
                <w:b/>
                <w:bCs/>
                <w:color w:val="222222"/>
              </w:rPr>
              <w:t xml:space="preserve"># </w:t>
            </w:r>
            <w:proofErr w:type="gramStart"/>
            <w:r w:rsidRPr="00030E27">
              <w:rPr>
                <w:rFonts w:eastAsia="Times New Roman" w:cs="Calibri"/>
                <w:b/>
                <w:bCs/>
                <w:color w:val="222222"/>
              </w:rPr>
              <w:t>of</w:t>
            </w:r>
            <w:proofErr w:type="gramEnd"/>
            <w:r w:rsidRPr="00030E27">
              <w:rPr>
                <w:rFonts w:eastAsia="Times New Roman" w:cs="Calibri"/>
                <w:b/>
                <w:bCs/>
                <w:color w:val="222222"/>
              </w:rPr>
              <w:t xml:space="preserve"> Units</w:t>
            </w:r>
          </w:p>
        </w:tc>
        <w:tc>
          <w:tcPr>
            <w:tcW w:w="2014" w:type="dxa"/>
            <w:shd w:val="clear" w:color="auto" w:fill="E7E6E6" w:themeFill="background2"/>
          </w:tcPr>
          <w:p w14:paraId="780F9A63" w14:textId="77777777" w:rsidR="001C0E42" w:rsidRPr="00030E27" w:rsidRDefault="001C0E42" w:rsidP="002C1F76">
            <w:pPr>
              <w:spacing w:after="240"/>
              <w:contextualSpacing/>
              <w:jc w:val="center"/>
              <w:rPr>
                <w:rFonts w:eastAsia="Times New Roman" w:cs="Calibri"/>
                <w:b/>
                <w:bCs/>
                <w:color w:val="222222"/>
              </w:rPr>
            </w:pPr>
            <w:r w:rsidRPr="00030E27">
              <w:rPr>
                <w:rFonts w:eastAsia="Times New Roman" w:cs="Calibri"/>
                <w:b/>
                <w:bCs/>
                <w:color w:val="222222"/>
              </w:rPr>
              <w:t>Income Levels</w:t>
            </w:r>
          </w:p>
        </w:tc>
      </w:tr>
      <w:tr w:rsidR="001C0E42" w14:paraId="4D113D97" w14:textId="77777777" w:rsidTr="002C1F76">
        <w:trPr>
          <w:jc w:val="center"/>
        </w:trPr>
        <w:tc>
          <w:tcPr>
            <w:tcW w:w="2073" w:type="dxa"/>
          </w:tcPr>
          <w:p w14:paraId="41EF0D83"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1br</w:t>
            </w:r>
          </w:p>
        </w:tc>
        <w:tc>
          <w:tcPr>
            <w:tcW w:w="2073" w:type="dxa"/>
          </w:tcPr>
          <w:p w14:paraId="0AE62260" w14:textId="77777777" w:rsidR="001C0E42" w:rsidRDefault="001C0E42" w:rsidP="002C1F76">
            <w:pPr>
              <w:spacing w:after="240"/>
              <w:contextualSpacing/>
              <w:rPr>
                <w:rFonts w:eastAsia="Times New Roman" w:cs="Calibri"/>
                <w:color w:val="222222"/>
              </w:rPr>
            </w:pPr>
            <w:r>
              <w:rPr>
                <w:rFonts w:eastAsia="Times New Roman" w:cs="Calibri"/>
                <w:color w:val="222222"/>
              </w:rPr>
              <w:t>4</w:t>
            </w:r>
          </w:p>
        </w:tc>
        <w:tc>
          <w:tcPr>
            <w:tcW w:w="2014" w:type="dxa"/>
          </w:tcPr>
          <w:p w14:paraId="39C170CD"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Disability (PWD)</w:t>
            </w:r>
          </w:p>
        </w:tc>
      </w:tr>
      <w:tr w:rsidR="001C0E42" w14:paraId="4D84A1D7" w14:textId="77777777" w:rsidTr="002C1F76">
        <w:trPr>
          <w:jc w:val="center"/>
        </w:trPr>
        <w:tc>
          <w:tcPr>
            <w:tcW w:w="2073" w:type="dxa"/>
          </w:tcPr>
          <w:p w14:paraId="2974B0E2"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1br</w:t>
            </w:r>
          </w:p>
        </w:tc>
        <w:tc>
          <w:tcPr>
            <w:tcW w:w="2073" w:type="dxa"/>
          </w:tcPr>
          <w:p w14:paraId="7CB29E92" w14:textId="77777777" w:rsidR="001C0E42" w:rsidRDefault="001C0E42" w:rsidP="002C1F76">
            <w:pPr>
              <w:spacing w:after="240"/>
              <w:contextualSpacing/>
              <w:rPr>
                <w:rFonts w:eastAsia="Times New Roman" w:cs="Calibri"/>
                <w:color w:val="222222"/>
              </w:rPr>
            </w:pPr>
            <w:r>
              <w:rPr>
                <w:rFonts w:eastAsia="Times New Roman" w:cs="Calibri"/>
                <w:color w:val="222222"/>
              </w:rPr>
              <w:t>7</w:t>
            </w:r>
          </w:p>
        </w:tc>
        <w:tc>
          <w:tcPr>
            <w:tcW w:w="2014" w:type="dxa"/>
          </w:tcPr>
          <w:p w14:paraId="6B7A4A63"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HPH</w:t>
            </w:r>
          </w:p>
        </w:tc>
      </w:tr>
      <w:tr w:rsidR="001C0E42" w14:paraId="3EB9930C" w14:textId="77777777" w:rsidTr="002C1F76">
        <w:trPr>
          <w:jc w:val="center"/>
        </w:trPr>
        <w:tc>
          <w:tcPr>
            <w:tcW w:w="2073" w:type="dxa"/>
          </w:tcPr>
          <w:p w14:paraId="744181E7"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1br</w:t>
            </w:r>
          </w:p>
        </w:tc>
        <w:tc>
          <w:tcPr>
            <w:tcW w:w="2073" w:type="dxa"/>
          </w:tcPr>
          <w:p w14:paraId="10218218" w14:textId="77777777" w:rsidR="001C0E42" w:rsidRDefault="001C0E42" w:rsidP="002C1F76">
            <w:pPr>
              <w:spacing w:after="240"/>
              <w:contextualSpacing/>
              <w:rPr>
                <w:rFonts w:eastAsia="Times New Roman" w:cs="Calibri"/>
                <w:color w:val="222222"/>
              </w:rPr>
            </w:pPr>
            <w:r>
              <w:rPr>
                <w:rFonts w:eastAsia="Times New Roman" w:cs="Calibri"/>
                <w:color w:val="222222"/>
              </w:rPr>
              <w:t>4</w:t>
            </w:r>
          </w:p>
        </w:tc>
        <w:tc>
          <w:tcPr>
            <w:tcW w:w="2014" w:type="dxa"/>
          </w:tcPr>
          <w:p w14:paraId="708879E7"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60% AMI</w:t>
            </w:r>
          </w:p>
        </w:tc>
      </w:tr>
      <w:tr w:rsidR="001C0E42" w14:paraId="5B646CC8" w14:textId="77777777" w:rsidTr="002C1F76">
        <w:trPr>
          <w:jc w:val="center"/>
        </w:trPr>
        <w:tc>
          <w:tcPr>
            <w:tcW w:w="2073" w:type="dxa"/>
          </w:tcPr>
          <w:p w14:paraId="704AFE36"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2br</w:t>
            </w:r>
          </w:p>
        </w:tc>
        <w:tc>
          <w:tcPr>
            <w:tcW w:w="2073" w:type="dxa"/>
          </w:tcPr>
          <w:p w14:paraId="08074911" w14:textId="77777777" w:rsidR="001C0E42" w:rsidRDefault="001C0E42" w:rsidP="002C1F76">
            <w:pPr>
              <w:spacing w:after="240"/>
              <w:contextualSpacing/>
              <w:rPr>
                <w:rFonts w:eastAsia="Times New Roman" w:cs="Calibri"/>
                <w:color w:val="222222"/>
              </w:rPr>
            </w:pPr>
            <w:r>
              <w:rPr>
                <w:rFonts w:eastAsia="Times New Roman" w:cs="Calibri"/>
                <w:color w:val="222222"/>
              </w:rPr>
              <w:t>28</w:t>
            </w:r>
          </w:p>
        </w:tc>
        <w:tc>
          <w:tcPr>
            <w:tcW w:w="2014" w:type="dxa"/>
          </w:tcPr>
          <w:p w14:paraId="1A8AD6F0"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60% AMI</w:t>
            </w:r>
          </w:p>
        </w:tc>
      </w:tr>
      <w:tr w:rsidR="001C0E42" w14:paraId="6A386CC8" w14:textId="77777777" w:rsidTr="002C1F76">
        <w:trPr>
          <w:jc w:val="center"/>
        </w:trPr>
        <w:tc>
          <w:tcPr>
            <w:tcW w:w="2073" w:type="dxa"/>
          </w:tcPr>
          <w:p w14:paraId="36AE2C51"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3br</w:t>
            </w:r>
          </w:p>
        </w:tc>
        <w:tc>
          <w:tcPr>
            <w:tcW w:w="2073" w:type="dxa"/>
          </w:tcPr>
          <w:p w14:paraId="52E6FC56" w14:textId="77777777" w:rsidR="001C0E42" w:rsidRDefault="001C0E42" w:rsidP="002C1F76">
            <w:pPr>
              <w:spacing w:after="240"/>
              <w:contextualSpacing/>
              <w:rPr>
                <w:rFonts w:eastAsia="Times New Roman" w:cs="Calibri"/>
                <w:color w:val="222222"/>
              </w:rPr>
            </w:pPr>
            <w:r>
              <w:rPr>
                <w:rFonts w:eastAsia="Times New Roman" w:cs="Calibri"/>
                <w:color w:val="222222"/>
              </w:rPr>
              <w:t>12</w:t>
            </w:r>
          </w:p>
        </w:tc>
        <w:tc>
          <w:tcPr>
            <w:tcW w:w="2014" w:type="dxa"/>
          </w:tcPr>
          <w:p w14:paraId="026B5214"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60% AMI</w:t>
            </w:r>
          </w:p>
        </w:tc>
      </w:tr>
      <w:tr w:rsidR="001C0E42" w14:paraId="140062CE" w14:textId="77777777" w:rsidTr="002C1F76">
        <w:trPr>
          <w:jc w:val="center"/>
        </w:trPr>
        <w:tc>
          <w:tcPr>
            <w:tcW w:w="2073" w:type="dxa"/>
          </w:tcPr>
          <w:p w14:paraId="11B2123F"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4br</w:t>
            </w:r>
          </w:p>
        </w:tc>
        <w:tc>
          <w:tcPr>
            <w:tcW w:w="2073" w:type="dxa"/>
          </w:tcPr>
          <w:p w14:paraId="7772C058" w14:textId="77777777" w:rsidR="001C0E42" w:rsidRDefault="001C0E42" w:rsidP="002C1F76">
            <w:pPr>
              <w:spacing w:after="240"/>
              <w:contextualSpacing/>
              <w:rPr>
                <w:rFonts w:eastAsia="Times New Roman" w:cs="Calibri"/>
                <w:color w:val="222222"/>
              </w:rPr>
            </w:pPr>
            <w:r>
              <w:rPr>
                <w:rFonts w:eastAsia="Times New Roman" w:cs="Calibri"/>
                <w:color w:val="222222"/>
              </w:rPr>
              <w:t>6</w:t>
            </w:r>
          </w:p>
        </w:tc>
        <w:tc>
          <w:tcPr>
            <w:tcW w:w="2014" w:type="dxa"/>
          </w:tcPr>
          <w:p w14:paraId="0849D86C"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60% AMI</w:t>
            </w:r>
          </w:p>
        </w:tc>
      </w:tr>
      <w:tr w:rsidR="001C0E42" w14:paraId="31410721" w14:textId="77777777" w:rsidTr="002C1F76">
        <w:trPr>
          <w:jc w:val="center"/>
        </w:trPr>
        <w:tc>
          <w:tcPr>
            <w:tcW w:w="2073" w:type="dxa"/>
            <w:shd w:val="clear" w:color="auto" w:fill="DEEAF6" w:themeFill="accent1" w:themeFillTint="33"/>
          </w:tcPr>
          <w:p w14:paraId="6DDB3BD2" w14:textId="77777777" w:rsidR="001C0E42" w:rsidRPr="00373B00" w:rsidRDefault="001C0E42" w:rsidP="002C1F76">
            <w:pPr>
              <w:spacing w:after="240"/>
              <w:contextualSpacing/>
              <w:jc w:val="center"/>
              <w:rPr>
                <w:rFonts w:eastAsia="Times New Roman" w:cs="Calibri"/>
                <w:b/>
                <w:bCs/>
                <w:color w:val="222222"/>
              </w:rPr>
            </w:pPr>
            <w:r w:rsidRPr="00373B00">
              <w:rPr>
                <w:rFonts w:eastAsia="Times New Roman" w:cs="Calibri"/>
                <w:b/>
                <w:bCs/>
                <w:color w:val="222222"/>
              </w:rPr>
              <w:t>Total:</w:t>
            </w:r>
          </w:p>
        </w:tc>
        <w:tc>
          <w:tcPr>
            <w:tcW w:w="4087" w:type="dxa"/>
            <w:gridSpan w:val="2"/>
            <w:shd w:val="clear" w:color="auto" w:fill="DEEAF6" w:themeFill="accent1" w:themeFillTint="33"/>
          </w:tcPr>
          <w:p w14:paraId="0E92CFF8" w14:textId="77777777" w:rsidR="001C0E42" w:rsidRPr="00373B00" w:rsidRDefault="001C0E42" w:rsidP="002C1F76">
            <w:pPr>
              <w:spacing w:after="240"/>
              <w:contextualSpacing/>
              <w:rPr>
                <w:rFonts w:eastAsia="Times New Roman" w:cs="Calibri"/>
                <w:b/>
                <w:bCs/>
                <w:color w:val="222222"/>
              </w:rPr>
            </w:pPr>
            <w:r w:rsidRPr="00373B00">
              <w:rPr>
                <w:rFonts w:eastAsia="Times New Roman" w:cs="Calibri"/>
                <w:b/>
                <w:bCs/>
                <w:color w:val="222222"/>
              </w:rPr>
              <w:t>61</w:t>
            </w:r>
          </w:p>
        </w:tc>
      </w:tr>
    </w:tbl>
    <w:p w14:paraId="26BB5302" w14:textId="77777777" w:rsidR="001C0E42" w:rsidRDefault="001C0E42" w:rsidP="001C0E42">
      <w:pPr>
        <w:shd w:val="clear" w:color="auto" w:fill="FFFFFF" w:themeFill="background1"/>
        <w:jc w:val="both"/>
        <w:rPr>
          <w:color w:val="222222"/>
        </w:rPr>
      </w:pPr>
    </w:p>
    <w:p w14:paraId="0CACF0E5" w14:textId="12BF0D15" w:rsidR="001C0E42" w:rsidRDefault="001C0E42" w:rsidP="001C0E42">
      <w:pPr>
        <w:shd w:val="clear" w:color="auto" w:fill="FFFFFF" w:themeFill="background1"/>
        <w:spacing w:after="0" w:line="240" w:lineRule="auto"/>
        <w:jc w:val="both"/>
        <w:rPr>
          <w:color w:val="222222"/>
        </w:rPr>
      </w:pPr>
      <w:r>
        <w:rPr>
          <w:color w:val="222222"/>
        </w:rPr>
        <w:lastRenderedPageBreak/>
        <w:t>Set-aside units designated throughout the building – HPH filled through CE &amp; PWD through Scott County HHS</w:t>
      </w:r>
    </w:p>
    <w:p w14:paraId="61A22C20" w14:textId="7C045524" w:rsidR="001C0E42" w:rsidRDefault="001C0E42" w:rsidP="001C0E42">
      <w:pPr>
        <w:shd w:val="clear" w:color="auto" w:fill="FFFFFF" w:themeFill="background1"/>
        <w:spacing w:after="0" w:line="240" w:lineRule="auto"/>
        <w:ind w:left="720"/>
        <w:jc w:val="both"/>
        <w:rPr>
          <w:color w:val="222222"/>
        </w:rPr>
      </w:pPr>
      <w:r>
        <w:rPr>
          <w:color w:val="222222"/>
        </w:rPr>
        <w:t>PWD – targeting people that are living with physical disabilities, type A accessibility, but are amenable to accepting folks with other disabilities</w:t>
      </w:r>
    </w:p>
    <w:p w14:paraId="141EDFAE" w14:textId="77777777" w:rsidR="001C0E42" w:rsidRDefault="001C0E42" w:rsidP="001C0E42">
      <w:pPr>
        <w:shd w:val="clear" w:color="auto" w:fill="FFFFFF" w:themeFill="background1"/>
        <w:spacing w:after="0" w:line="240" w:lineRule="auto"/>
        <w:rPr>
          <w:rFonts w:eastAsia="Times New Roman" w:cs="Calibri"/>
          <w:b/>
          <w:bCs/>
          <w:i/>
          <w:iCs/>
          <w:color w:val="222222"/>
        </w:rPr>
      </w:pPr>
    </w:p>
    <w:p w14:paraId="056B1DDD" w14:textId="33921ED1" w:rsidR="001C0E42" w:rsidRPr="001C0E42" w:rsidRDefault="001C0E42" w:rsidP="001C0E42">
      <w:pPr>
        <w:shd w:val="clear" w:color="auto" w:fill="FFFFFF" w:themeFill="background1"/>
        <w:spacing w:after="0" w:line="240" w:lineRule="auto"/>
        <w:rPr>
          <w:b/>
          <w:bCs/>
          <w:i/>
          <w:iCs/>
          <w:color w:val="222222"/>
        </w:rPr>
      </w:pPr>
      <w:r w:rsidRPr="001C0E42">
        <w:rPr>
          <w:rFonts w:eastAsia="Times New Roman" w:cs="Calibri"/>
          <w:b/>
          <w:bCs/>
          <w:i/>
          <w:iCs/>
          <w:color w:val="222222"/>
        </w:rPr>
        <w:t>Prairie Pointe</w:t>
      </w:r>
      <w:r>
        <w:rPr>
          <w:rFonts w:eastAsia="Times New Roman" w:cs="Calibri"/>
          <w:b/>
          <w:bCs/>
          <w:i/>
          <w:iCs/>
          <w:color w:val="222222"/>
        </w:rPr>
        <w:t>:</w:t>
      </w:r>
    </w:p>
    <w:p w14:paraId="79654E18" w14:textId="77777777" w:rsidR="001C0E42" w:rsidRPr="00030E27" w:rsidRDefault="001C0E42" w:rsidP="001C0E42">
      <w:pPr>
        <w:shd w:val="clear" w:color="auto" w:fill="FFFFFF"/>
        <w:spacing w:after="240"/>
        <w:contextualSpacing/>
        <w:rPr>
          <w:rFonts w:eastAsia="Times New Roman" w:cs="Calibri"/>
          <w:color w:val="222222"/>
        </w:rPr>
      </w:pPr>
      <w:r>
        <w:rPr>
          <w:rFonts w:eastAsia="Times New Roman" w:cs="Calibri"/>
          <w:color w:val="222222"/>
        </w:rPr>
        <w:t>Property Location</w:t>
      </w:r>
      <w:r w:rsidRPr="00030E27">
        <w:rPr>
          <w:rFonts w:eastAsia="Times New Roman" w:cs="Calibri"/>
          <w:color w:val="222222"/>
        </w:rPr>
        <w:t>:</w:t>
      </w:r>
      <w:r>
        <w:rPr>
          <w:rFonts w:eastAsia="Times New Roman" w:cs="Calibri"/>
          <w:color w:val="222222"/>
        </w:rPr>
        <w:t xml:space="preserve"> Shakopee</w:t>
      </w:r>
    </w:p>
    <w:p w14:paraId="3E71F25E" w14:textId="77777777" w:rsidR="001C0E42" w:rsidRPr="00030E27" w:rsidRDefault="001C0E42" w:rsidP="001C0E42">
      <w:pPr>
        <w:shd w:val="clear" w:color="auto" w:fill="FFFFFF"/>
        <w:spacing w:after="240"/>
        <w:contextualSpacing/>
        <w:rPr>
          <w:rFonts w:eastAsia="Times New Roman" w:cs="Calibri"/>
          <w:color w:val="222222"/>
        </w:rPr>
      </w:pPr>
      <w:r w:rsidRPr="00030E27">
        <w:rPr>
          <w:rFonts w:eastAsia="Times New Roman" w:cs="Calibri"/>
          <w:color w:val="222222"/>
        </w:rPr>
        <w:t xml:space="preserve">Developer: </w:t>
      </w:r>
      <w:r>
        <w:rPr>
          <w:rFonts w:eastAsia="Times New Roman" w:cs="Calibri"/>
          <w:color w:val="222222"/>
        </w:rPr>
        <w:t>Beacon Interfaith Housing Collaborative</w:t>
      </w:r>
    </w:p>
    <w:p w14:paraId="346BDF88" w14:textId="77777777" w:rsidR="001C0E42" w:rsidRPr="00030E27" w:rsidRDefault="001C0E42" w:rsidP="001C0E42">
      <w:pPr>
        <w:shd w:val="clear" w:color="auto" w:fill="FFFFFF"/>
        <w:spacing w:after="240"/>
        <w:contextualSpacing/>
        <w:rPr>
          <w:rFonts w:eastAsia="Times New Roman" w:cs="Calibri"/>
          <w:color w:val="222222"/>
        </w:rPr>
      </w:pPr>
      <w:r w:rsidRPr="00030E27">
        <w:rPr>
          <w:rFonts w:eastAsia="Times New Roman" w:cs="Calibri"/>
          <w:color w:val="222222"/>
        </w:rPr>
        <w:t>Supportive Housing Provider:</w:t>
      </w:r>
      <w:r>
        <w:rPr>
          <w:rFonts w:eastAsia="Times New Roman" w:cs="Calibri"/>
          <w:color w:val="222222"/>
        </w:rPr>
        <w:t xml:space="preserve"> Volunteers of America-MN</w:t>
      </w:r>
    </w:p>
    <w:p w14:paraId="296B4703" w14:textId="77777777" w:rsidR="001C0E42" w:rsidRDefault="001C0E42" w:rsidP="001C0E42">
      <w:pPr>
        <w:shd w:val="clear" w:color="auto" w:fill="FFFFFF"/>
        <w:spacing w:after="240"/>
        <w:contextualSpacing/>
        <w:rPr>
          <w:rFonts w:eastAsia="Times New Roman" w:cs="Calibri"/>
          <w:color w:val="222222"/>
        </w:rPr>
      </w:pPr>
      <w:r w:rsidRPr="00030E27">
        <w:rPr>
          <w:rFonts w:eastAsia="Times New Roman" w:cs="Calibri"/>
          <w:color w:val="222222"/>
        </w:rPr>
        <w:t>Unit Breakdown:</w:t>
      </w:r>
    </w:p>
    <w:tbl>
      <w:tblPr>
        <w:tblStyle w:val="TableGrid"/>
        <w:tblW w:w="0" w:type="auto"/>
        <w:jc w:val="center"/>
        <w:tblLook w:val="04A0" w:firstRow="1" w:lastRow="0" w:firstColumn="1" w:lastColumn="0" w:noHBand="0" w:noVBand="1"/>
      </w:tblPr>
      <w:tblGrid>
        <w:gridCol w:w="2073"/>
        <w:gridCol w:w="2073"/>
        <w:gridCol w:w="2014"/>
      </w:tblGrid>
      <w:tr w:rsidR="001C0E42" w:rsidRPr="00030E27" w14:paraId="6DCFE74D" w14:textId="77777777" w:rsidTr="002C1F76">
        <w:trPr>
          <w:jc w:val="center"/>
        </w:trPr>
        <w:tc>
          <w:tcPr>
            <w:tcW w:w="2073" w:type="dxa"/>
            <w:shd w:val="clear" w:color="auto" w:fill="E7E6E6" w:themeFill="background2"/>
          </w:tcPr>
          <w:p w14:paraId="1390196E" w14:textId="77777777" w:rsidR="001C0E42" w:rsidRPr="00030E27" w:rsidRDefault="001C0E42" w:rsidP="002C1F76">
            <w:pPr>
              <w:spacing w:after="240"/>
              <w:contextualSpacing/>
              <w:jc w:val="center"/>
              <w:rPr>
                <w:rFonts w:eastAsia="Times New Roman" w:cs="Calibri"/>
                <w:b/>
                <w:bCs/>
                <w:color w:val="222222"/>
              </w:rPr>
            </w:pPr>
            <w:r w:rsidRPr="00030E27">
              <w:rPr>
                <w:rFonts w:eastAsia="Times New Roman" w:cs="Calibri"/>
                <w:b/>
                <w:bCs/>
                <w:color w:val="222222"/>
              </w:rPr>
              <w:t>Unit Type</w:t>
            </w:r>
          </w:p>
        </w:tc>
        <w:tc>
          <w:tcPr>
            <w:tcW w:w="2073" w:type="dxa"/>
            <w:shd w:val="clear" w:color="auto" w:fill="E7E6E6" w:themeFill="background2"/>
          </w:tcPr>
          <w:p w14:paraId="1A2C548D" w14:textId="77777777" w:rsidR="001C0E42" w:rsidRPr="00030E27" w:rsidRDefault="001C0E42" w:rsidP="002C1F76">
            <w:pPr>
              <w:spacing w:after="240"/>
              <w:contextualSpacing/>
              <w:jc w:val="center"/>
              <w:rPr>
                <w:rFonts w:eastAsia="Times New Roman" w:cs="Calibri"/>
                <w:b/>
                <w:bCs/>
                <w:color w:val="222222"/>
              </w:rPr>
            </w:pPr>
            <w:r w:rsidRPr="00030E27">
              <w:rPr>
                <w:rFonts w:eastAsia="Times New Roman" w:cs="Calibri"/>
                <w:b/>
                <w:bCs/>
                <w:color w:val="222222"/>
              </w:rPr>
              <w:t xml:space="preserve"># </w:t>
            </w:r>
            <w:proofErr w:type="gramStart"/>
            <w:r w:rsidRPr="00030E27">
              <w:rPr>
                <w:rFonts w:eastAsia="Times New Roman" w:cs="Calibri"/>
                <w:b/>
                <w:bCs/>
                <w:color w:val="222222"/>
              </w:rPr>
              <w:t>of</w:t>
            </w:r>
            <w:proofErr w:type="gramEnd"/>
            <w:r w:rsidRPr="00030E27">
              <w:rPr>
                <w:rFonts w:eastAsia="Times New Roman" w:cs="Calibri"/>
                <w:b/>
                <w:bCs/>
                <w:color w:val="222222"/>
              </w:rPr>
              <w:t xml:space="preserve"> Units</w:t>
            </w:r>
          </w:p>
        </w:tc>
        <w:tc>
          <w:tcPr>
            <w:tcW w:w="2014" w:type="dxa"/>
            <w:shd w:val="clear" w:color="auto" w:fill="E7E6E6" w:themeFill="background2"/>
          </w:tcPr>
          <w:p w14:paraId="31B4528E" w14:textId="77777777" w:rsidR="001C0E42" w:rsidRPr="00030E27" w:rsidRDefault="001C0E42" w:rsidP="002C1F76">
            <w:pPr>
              <w:spacing w:after="240"/>
              <w:contextualSpacing/>
              <w:jc w:val="center"/>
              <w:rPr>
                <w:rFonts w:eastAsia="Times New Roman" w:cs="Calibri"/>
                <w:b/>
                <w:bCs/>
                <w:color w:val="222222"/>
              </w:rPr>
            </w:pPr>
            <w:r w:rsidRPr="00030E27">
              <w:rPr>
                <w:rFonts w:eastAsia="Times New Roman" w:cs="Calibri"/>
                <w:b/>
                <w:bCs/>
                <w:color w:val="222222"/>
              </w:rPr>
              <w:t>Income Levels</w:t>
            </w:r>
          </w:p>
        </w:tc>
      </w:tr>
      <w:tr w:rsidR="001C0E42" w14:paraId="4CA48248" w14:textId="77777777" w:rsidTr="002C1F76">
        <w:trPr>
          <w:jc w:val="center"/>
        </w:trPr>
        <w:tc>
          <w:tcPr>
            <w:tcW w:w="2073" w:type="dxa"/>
          </w:tcPr>
          <w:p w14:paraId="5BE96D62"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1br</w:t>
            </w:r>
          </w:p>
        </w:tc>
        <w:tc>
          <w:tcPr>
            <w:tcW w:w="2073" w:type="dxa"/>
          </w:tcPr>
          <w:p w14:paraId="25161E8C" w14:textId="77777777" w:rsidR="001C0E42" w:rsidRDefault="001C0E42" w:rsidP="002C1F76">
            <w:pPr>
              <w:spacing w:after="240"/>
              <w:contextualSpacing/>
              <w:rPr>
                <w:rFonts w:eastAsia="Times New Roman" w:cs="Calibri"/>
                <w:color w:val="222222"/>
              </w:rPr>
            </w:pPr>
            <w:r>
              <w:rPr>
                <w:rFonts w:eastAsia="Times New Roman" w:cs="Calibri"/>
                <w:color w:val="222222"/>
              </w:rPr>
              <w:t>5</w:t>
            </w:r>
          </w:p>
        </w:tc>
        <w:tc>
          <w:tcPr>
            <w:tcW w:w="2014" w:type="dxa"/>
          </w:tcPr>
          <w:p w14:paraId="5C9EA172"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w:t>
            </w:r>
          </w:p>
        </w:tc>
      </w:tr>
      <w:tr w:rsidR="001C0E42" w14:paraId="37762D40" w14:textId="77777777" w:rsidTr="002C1F76">
        <w:trPr>
          <w:jc w:val="center"/>
        </w:trPr>
        <w:tc>
          <w:tcPr>
            <w:tcW w:w="2073" w:type="dxa"/>
          </w:tcPr>
          <w:p w14:paraId="5E26E543"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2br</w:t>
            </w:r>
          </w:p>
        </w:tc>
        <w:tc>
          <w:tcPr>
            <w:tcW w:w="2073" w:type="dxa"/>
          </w:tcPr>
          <w:p w14:paraId="153624C4" w14:textId="77777777" w:rsidR="001C0E42" w:rsidRDefault="001C0E42" w:rsidP="002C1F76">
            <w:pPr>
              <w:spacing w:after="240"/>
              <w:contextualSpacing/>
              <w:rPr>
                <w:rFonts w:eastAsia="Times New Roman" w:cs="Calibri"/>
                <w:color w:val="222222"/>
              </w:rPr>
            </w:pPr>
            <w:r>
              <w:rPr>
                <w:rFonts w:eastAsia="Times New Roman" w:cs="Calibri"/>
                <w:color w:val="222222"/>
              </w:rPr>
              <w:t>22</w:t>
            </w:r>
          </w:p>
        </w:tc>
        <w:tc>
          <w:tcPr>
            <w:tcW w:w="2014" w:type="dxa"/>
          </w:tcPr>
          <w:p w14:paraId="592D3C7B"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w:t>
            </w:r>
          </w:p>
        </w:tc>
      </w:tr>
      <w:tr w:rsidR="001C0E42" w14:paraId="591299DD" w14:textId="77777777" w:rsidTr="002C1F76">
        <w:trPr>
          <w:jc w:val="center"/>
        </w:trPr>
        <w:tc>
          <w:tcPr>
            <w:tcW w:w="2073" w:type="dxa"/>
          </w:tcPr>
          <w:p w14:paraId="4BB2BFAC"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3br</w:t>
            </w:r>
          </w:p>
        </w:tc>
        <w:tc>
          <w:tcPr>
            <w:tcW w:w="2073" w:type="dxa"/>
          </w:tcPr>
          <w:p w14:paraId="23701801" w14:textId="77777777" w:rsidR="001C0E42" w:rsidRDefault="001C0E42" w:rsidP="002C1F76">
            <w:pPr>
              <w:spacing w:after="240"/>
              <w:contextualSpacing/>
              <w:rPr>
                <w:rFonts w:eastAsia="Times New Roman" w:cs="Calibri"/>
                <w:color w:val="222222"/>
              </w:rPr>
            </w:pPr>
            <w:r>
              <w:rPr>
                <w:rFonts w:eastAsia="Times New Roman" w:cs="Calibri"/>
                <w:color w:val="222222"/>
              </w:rPr>
              <w:t>11</w:t>
            </w:r>
          </w:p>
        </w:tc>
        <w:tc>
          <w:tcPr>
            <w:tcW w:w="2014" w:type="dxa"/>
          </w:tcPr>
          <w:p w14:paraId="1E55B522"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w:t>
            </w:r>
          </w:p>
        </w:tc>
      </w:tr>
      <w:tr w:rsidR="001C0E42" w14:paraId="34F4F5FB" w14:textId="77777777" w:rsidTr="002C1F76">
        <w:trPr>
          <w:jc w:val="center"/>
        </w:trPr>
        <w:tc>
          <w:tcPr>
            <w:tcW w:w="2073" w:type="dxa"/>
          </w:tcPr>
          <w:p w14:paraId="39A59C2F"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4br</w:t>
            </w:r>
          </w:p>
        </w:tc>
        <w:tc>
          <w:tcPr>
            <w:tcW w:w="2073" w:type="dxa"/>
          </w:tcPr>
          <w:p w14:paraId="21659C4E" w14:textId="77777777" w:rsidR="001C0E42" w:rsidRDefault="001C0E42" w:rsidP="002C1F76">
            <w:pPr>
              <w:spacing w:after="240"/>
              <w:contextualSpacing/>
              <w:rPr>
                <w:rFonts w:eastAsia="Times New Roman" w:cs="Calibri"/>
                <w:color w:val="222222"/>
              </w:rPr>
            </w:pPr>
            <w:r>
              <w:rPr>
                <w:rFonts w:eastAsia="Times New Roman" w:cs="Calibri"/>
                <w:color w:val="222222"/>
              </w:rPr>
              <w:t>4</w:t>
            </w:r>
          </w:p>
        </w:tc>
        <w:tc>
          <w:tcPr>
            <w:tcW w:w="2014" w:type="dxa"/>
          </w:tcPr>
          <w:p w14:paraId="522A1F05" w14:textId="77777777" w:rsidR="001C0E42" w:rsidRDefault="001C0E42" w:rsidP="002C1F76">
            <w:pPr>
              <w:spacing w:after="240"/>
              <w:contextualSpacing/>
              <w:jc w:val="center"/>
              <w:rPr>
                <w:rFonts w:eastAsia="Times New Roman" w:cs="Calibri"/>
                <w:color w:val="222222"/>
              </w:rPr>
            </w:pPr>
            <w:r>
              <w:rPr>
                <w:rFonts w:eastAsia="Times New Roman" w:cs="Calibri"/>
                <w:color w:val="222222"/>
              </w:rPr>
              <w:t>**</w:t>
            </w:r>
          </w:p>
        </w:tc>
      </w:tr>
      <w:tr w:rsidR="001C0E42" w:rsidRPr="00373B00" w14:paraId="4492AF6B" w14:textId="77777777" w:rsidTr="002C1F76">
        <w:trPr>
          <w:jc w:val="center"/>
        </w:trPr>
        <w:tc>
          <w:tcPr>
            <w:tcW w:w="2073" w:type="dxa"/>
            <w:shd w:val="clear" w:color="auto" w:fill="DEEAF6" w:themeFill="accent1" w:themeFillTint="33"/>
          </w:tcPr>
          <w:p w14:paraId="348D7EFE" w14:textId="77777777" w:rsidR="001C0E42" w:rsidRPr="00373B00" w:rsidRDefault="001C0E42" w:rsidP="002C1F76">
            <w:pPr>
              <w:spacing w:after="240"/>
              <w:contextualSpacing/>
              <w:jc w:val="center"/>
              <w:rPr>
                <w:rFonts w:eastAsia="Times New Roman" w:cs="Calibri"/>
                <w:b/>
                <w:bCs/>
                <w:color w:val="222222"/>
              </w:rPr>
            </w:pPr>
            <w:r w:rsidRPr="00373B00">
              <w:rPr>
                <w:rFonts w:eastAsia="Times New Roman" w:cs="Calibri"/>
                <w:b/>
                <w:bCs/>
                <w:color w:val="222222"/>
              </w:rPr>
              <w:t>Total:</w:t>
            </w:r>
          </w:p>
        </w:tc>
        <w:tc>
          <w:tcPr>
            <w:tcW w:w="4087" w:type="dxa"/>
            <w:gridSpan w:val="2"/>
            <w:shd w:val="clear" w:color="auto" w:fill="DEEAF6" w:themeFill="accent1" w:themeFillTint="33"/>
          </w:tcPr>
          <w:p w14:paraId="334DA3D3" w14:textId="77777777" w:rsidR="001C0E42" w:rsidRPr="00373B00" w:rsidRDefault="001C0E42" w:rsidP="002C1F76">
            <w:pPr>
              <w:spacing w:after="240"/>
              <w:contextualSpacing/>
              <w:rPr>
                <w:rFonts w:eastAsia="Times New Roman" w:cs="Calibri"/>
                <w:b/>
                <w:bCs/>
                <w:color w:val="222222"/>
              </w:rPr>
            </w:pPr>
            <w:r>
              <w:rPr>
                <w:rFonts w:eastAsia="Times New Roman" w:cs="Calibri"/>
                <w:b/>
                <w:bCs/>
                <w:color w:val="222222"/>
              </w:rPr>
              <w:t>42</w:t>
            </w:r>
          </w:p>
        </w:tc>
      </w:tr>
    </w:tbl>
    <w:p w14:paraId="4A606693" w14:textId="77777777" w:rsidR="001C0E42" w:rsidRDefault="001C0E42" w:rsidP="001C0E42">
      <w:pPr>
        <w:shd w:val="clear" w:color="auto" w:fill="FFFFFF"/>
        <w:spacing w:after="240"/>
        <w:contextualSpacing/>
        <w:jc w:val="both"/>
      </w:pPr>
      <w:r>
        <w:t xml:space="preserve">The development will seek to offer ½ of the units to households earning at/below 50% AMI. </w:t>
      </w:r>
    </w:p>
    <w:p w14:paraId="6F4BF2E9" w14:textId="77777777" w:rsidR="001C0E42" w:rsidRDefault="001C0E42" w:rsidP="001C0E42">
      <w:pPr>
        <w:shd w:val="clear" w:color="auto" w:fill="FFFFFF"/>
        <w:spacing w:after="240"/>
        <w:contextualSpacing/>
        <w:jc w:val="both"/>
      </w:pPr>
      <w:r>
        <w:t xml:space="preserve">Projecting 21 HPH Units (anticipating that this would breakdown to 12 committed HSP-Rate 2 &amp; 9 private rental assistance commitment (4-year commitment)) – These units would be scattered between 2 &amp; 3bdrm Units </w:t>
      </w:r>
    </w:p>
    <w:p w14:paraId="4FB2C8DC" w14:textId="77777777" w:rsidR="001C0E42" w:rsidRDefault="001C0E42" w:rsidP="001C0E42">
      <w:pPr>
        <w:shd w:val="clear" w:color="auto" w:fill="FFFFFF"/>
        <w:spacing w:after="240"/>
        <w:contextualSpacing/>
        <w:jc w:val="both"/>
      </w:pPr>
      <w:r>
        <w:t>7 PWD units that would allow tenants to either access Housing Support or MSA (PWD) – scattered between 1 &amp; 2bdrm units</w:t>
      </w:r>
    </w:p>
    <w:p w14:paraId="18D06F46" w14:textId="77777777" w:rsidR="001C0E42" w:rsidRDefault="001C0E42" w:rsidP="001C0E42">
      <w:pPr>
        <w:shd w:val="clear" w:color="auto" w:fill="FFFFFF"/>
        <w:spacing w:after="240"/>
        <w:contextualSpacing/>
        <w:jc w:val="both"/>
      </w:pPr>
      <w:r>
        <w:t xml:space="preserve">14 affordable units to 50% AMI (3-4 </w:t>
      </w:r>
      <w:proofErr w:type="spellStart"/>
      <w:r>
        <w:t>bdrm</w:t>
      </w:r>
      <w:proofErr w:type="spellEnd"/>
      <w:r>
        <w:t xml:space="preserve"> units) </w:t>
      </w:r>
    </w:p>
    <w:p w14:paraId="0F49919F" w14:textId="77777777" w:rsidR="001C0E42" w:rsidRDefault="001C0E42" w:rsidP="001C0E42">
      <w:pPr>
        <w:shd w:val="clear" w:color="auto" w:fill="FFFFFF"/>
        <w:spacing w:after="240"/>
        <w:contextualSpacing/>
        <w:jc w:val="both"/>
      </w:pPr>
      <w:r>
        <w:t>Unit mix was established by using a combination of sources, incl. Met Council data, Community Needs data, and input from Families Moving Forward (Family shelter provider for Scott/Carver)</w:t>
      </w:r>
    </w:p>
    <w:p w14:paraId="1D654BA2" w14:textId="77777777" w:rsidR="001C0E42" w:rsidRDefault="001C0E42" w:rsidP="001C0E42">
      <w:pPr>
        <w:shd w:val="clear" w:color="auto" w:fill="FFFFFF"/>
        <w:spacing w:after="240"/>
        <w:contextualSpacing/>
        <w:jc w:val="both"/>
      </w:pPr>
      <w:r>
        <w:t>Noted the challenge of assembling capital for a project like this, and anticipated that the site would present opportunities to pursue CoC Bonus Funds to help support staffing expenses</w:t>
      </w:r>
    </w:p>
    <w:p w14:paraId="521346AA" w14:textId="77777777" w:rsidR="001C0E42" w:rsidRDefault="001C0E42" w:rsidP="001C0E42">
      <w:pPr>
        <w:shd w:val="clear" w:color="auto" w:fill="FFFFFF"/>
        <w:spacing w:after="240"/>
        <w:contextualSpacing/>
        <w:jc w:val="both"/>
      </w:pPr>
      <w:r>
        <w:t>Premier Management LLC (Property Management Entity) – Identified that Premier has a history of providing quality property management services to lower-income households, and incorporates best practices for serving this population into their work</w:t>
      </w:r>
    </w:p>
    <w:p w14:paraId="488AC62B" w14:textId="31C9ED07" w:rsidR="001C0E42" w:rsidRDefault="001C0E42" w:rsidP="001C0E42">
      <w:pPr>
        <w:shd w:val="clear" w:color="auto" w:fill="FFFFFF"/>
        <w:spacing w:after="240"/>
        <w:contextualSpacing/>
        <w:jc w:val="both"/>
      </w:pPr>
      <w:r>
        <w:t>VOA (Service Provider) – Identified that VOA has a history of providing varying intensity CM supports to households, including strong behavioral health services. Would seek to provide a 1-10 client to staff ration, which would include a part-time services manager and a front desk staff. New service provider for Scott County</w:t>
      </w:r>
    </w:p>
    <w:p w14:paraId="0EE1345E" w14:textId="77777777" w:rsidR="001C0E42" w:rsidRDefault="001C0E42" w:rsidP="001C0E42">
      <w:pPr>
        <w:shd w:val="clear" w:color="auto" w:fill="FFFFFF"/>
        <w:spacing w:after="240"/>
        <w:contextualSpacing/>
        <w:jc w:val="both"/>
      </w:pPr>
      <w:r>
        <w:t>Collectively participated in the Keeping Families Together Initiative with entities from across Scott and Carver Counties</w:t>
      </w:r>
    </w:p>
    <w:p w14:paraId="70A2BE55" w14:textId="77777777" w:rsidR="001C0E42" w:rsidRPr="00623D73" w:rsidRDefault="001C0E42" w:rsidP="001C0E42">
      <w:pPr>
        <w:shd w:val="clear" w:color="auto" w:fill="FFFFFF"/>
        <w:spacing w:after="240"/>
        <w:contextualSpacing/>
        <w:jc w:val="both"/>
      </w:pPr>
      <w:r>
        <w:t xml:space="preserve">Would seek to co-locate other service providers at the site and have space for service-providers to meet with tenants on site. </w:t>
      </w:r>
    </w:p>
    <w:p w14:paraId="2A0F19D6" w14:textId="77777777" w:rsidR="001C0E42" w:rsidRDefault="001C0E42" w:rsidP="001C0E42">
      <w:pPr>
        <w:spacing w:after="0" w:line="240" w:lineRule="auto"/>
        <w:rPr>
          <w:highlight w:val="yellow"/>
        </w:rPr>
      </w:pPr>
    </w:p>
    <w:p w14:paraId="3E13741E" w14:textId="321D533D" w:rsidR="001C0E42" w:rsidRDefault="001C0E42" w:rsidP="001C0E42">
      <w:pPr>
        <w:spacing w:after="0" w:line="240" w:lineRule="auto"/>
      </w:pPr>
      <w:r w:rsidRPr="001C0E42">
        <w:rPr>
          <w:highlight w:val="yellow"/>
        </w:rPr>
        <w:t>Washington</w:t>
      </w:r>
      <w:r>
        <w:t>: 3 Projects</w:t>
      </w:r>
    </w:p>
    <w:p w14:paraId="365EE793" w14:textId="53F1702A" w:rsidR="001C0E42" w:rsidRDefault="001C0E42" w:rsidP="001C0E42">
      <w:pPr>
        <w:pStyle w:val="ListParagraph"/>
        <w:numPr>
          <w:ilvl w:val="0"/>
          <w:numId w:val="6"/>
        </w:numPr>
        <w:spacing w:after="0" w:line="240" w:lineRule="auto"/>
        <w:jc w:val="both"/>
      </w:pPr>
      <w:r>
        <w:t xml:space="preserve">Senior Affordable (Cottage Grove) – Trellis is developer. 11 HPH &amp; 4 PWD proposed, mix of studios and 1bdrm units. </w:t>
      </w:r>
    </w:p>
    <w:p w14:paraId="7068E6C7" w14:textId="5431A735" w:rsidR="001C0E42" w:rsidRDefault="001C0E42" w:rsidP="001C0E42">
      <w:pPr>
        <w:pStyle w:val="ListParagraph"/>
        <w:numPr>
          <w:ilvl w:val="0"/>
          <w:numId w:val="6"/>
        </w:numPr>
        <w:spacing w:after="0" w:line="240" w:lineRule="auto"/>
        <w:jc w:val="both"/>
      </w:pPr>
      <w:r>
        <w:t xml:space="preserve">Expansion of Redrock Square – MWF is developer, Phoenix is service provider. 7 PWD &amp; 4 HPH. 51 units. </w:t>
      </w:r>
    </w:p>
    <w:p w14:paraId="0FE87FC3" w14:textId="26BDF06E" w:rsidR="001C0E42" w:rsidRDefault="001C0E42" w:rsidP="001C0E42">
      <w:pPr>
        <w:pStyle w:val="ListParagraph"/>
        <w:numPr>
          <w:ilvl w:val="0"/>
          <w:numId w:val="6"/>
        </w:numPr>
        <w:spacing w:after="0" w:line="240" w:lineRule="auto"/>
        <w:jc w:val="both"/>
      </w:pPr>
      <w:proofErr w:type="spellStart"/>
      <w:r>
        <w:t>AbleLight</w:t>
      </w:r>
      <w:proofErr w:type="spellEnd"/>
      <w:r>
        <w:t xml:space="preserve"> Village – Mixed income development for people living with IDD and other disabilities. 10% of units will be HPH and 25% will be for people living with IDD and/or DD. Other units will be set aside for people at extremely low-income levels. </w:t>
      </w:r>
    </w:p>
    <w:p w14:paraId="01F600D8" w14:textId="77777777" w:rsidR="001C0E42" w:rsidRDefault="001C0E42" w:rsidP="001C0E42">
      <w:pPr>
        <w:spacing w:after="0" w:line="240" w:lineRule="auto"/>
        <w:ind w:left="360"/>
      </w:pPr>
    </w:p>
    <w:p w14:paraId="458D2CA2" w14:textId="45629851" w:rsidR="001C0E42" w:rsidRPr="001C0E42" w:rsidRDefault="001C0E42" w:rsidP="001C0E42">
      <w:pPr>
        <w:spacing w:after="0" w:line="240" w:lineRule="auto"/>
        <w:ind w:left="360"/>
        <w:rPr>
          <w:i/>
          <w:iCs/>
        </w:rPr>
      </w:pPr>
      <w:r w:rsidRPr="001C0E42">
        <w:rPr>
          <w:i/>
          <w:iCs/>
        </w:rPr>
        <w:t xml:space="preserve">Molly motioned an approval, Kamaria seconded the motion. </w:t>
      </w:r>
      <w:r>
        <w:rPr>
          <w:i/>
          <w:iCs/>
        </w:rPr>
        <w:t>Approval to move forward with extending Continuum of Care (CoC) Approval to the projects presented throughout SMAC</w:t>
      </w:r>
    </w:p>
    <w:p w14:paraId="38EAE639" w14:textId="62EF26D6" w:rsidR="001C0E42" w:rsidRDefault="001C0E42" w:rsidP="001C0E42">
      <w:pPr>
        <w:spacing w:after="0" w:line="240" w:lineRule="auto"/>
      </w:pPr>
    </w:p>
    <w:p w14:paraId="0BB1CDD1" w14:textId="3F3177E2" w:rsidR="001C0E42" w:rsidRDefault="001C0E42" w:rsidP="001C0E42">
      <w:pPr>
        <w:spacing w:after="0" w:line="240" w:lineRule="auto"/>
      </w:pPr>
    </w:p>
    <w:p w14:paraId="67D0F257" w14:textId="55EDDA42" w:rsidR="001C0E42" w:rsidRDefault="001C0E42" w:rsidP="001C0E42">
      <w:pPr>
        <w:spacing w:after="0" w:line="240" w:lineRule="auto"/>
      </w:pPr>
    </w:p>
    <w:p w14:paraId="20DAE9F9" w14:textId="77777777" w:rsidR="001C0E42" w:rsidRDefault="001C0E42" w:rsidP="001C0E42">
      <w:pPr>
        <w:spacing w:after="0" w:line="240" w:lineRule="auto"/>
      </w:pPr>
    </w:p>
    <w:p w14:paraId="70C8D8BB" w14:textId="5C60EBBE" w:rsidR="00EE286A" w:rsidRDefault="00F74054" w:rsidP="001C0E42">
      <w:pPr>
        <w:pStyle w:val="ListParagraph"/>
        <w:numPr>
          <w:ilvl w:val="0"/>
          <w:numId w:val="1"/>
        </w:numPr>
        <w:spacing w:after="0" w:line="240" w:lineRule="auto"/>
      </w:pPr>
      <w:r w:rsidRPr="001C0E42">
        <w:rPr>
          <w:b/>
          <w:bCs/>
        </w:rPr>
        <w:lastRenderedPageBreak/>
        <w:t>Review Actions/Next Meeting</w:t>
      </w:r>
      <w:r>
        <w:tab/>
      </w:r>
      <w:r>
        <w:tab/>
      </w:r>
      <w:r>
        <w:tab/>
      </w:r>
      <w:r>
        <w:tab/>
      </w:r>
      <w:r>
        <w:tab/>
      </w:r>
      <w:r>
        <w:tab/>
      </w:r>
      <w:r>
        <w:tab/>
        <w:t>5 minutes</w:t>
      </w:r>
      <w:r w:rsidR="00EE286A">
        <w:tab/>
      </w:r>
      <w:r w:rsidR="00EE286A">
        <w:tab/>
      </w:r>
      <w:r w:rsidR="00EE286A">
        <w:tab/>
      </w:r>
      <w:r w:rsidR="00EE286A">
        <w:tab/>
      </w:r>
      <w:r w:rsidR="00EE286A">
        <w:tab/>
      </w:r>
      <w:r w:rsidR="00EE286A">
        <w:tab/>
      </w:r>
    </w:p>
    <w:p w14:paraId="4A53A2A6" w14:textId="77777777" w:rsidR="001C0E42" w:rsidRDefault="001C0E42" w:rsidP="001C0E42">
      <w:pPr>
        <w:spacing w:after="0" w:line="240" w:lineRule="auto"/>
        <w:jc w:val="both"/>
      </w:pPr>
      <w:r>
        <w:t>Hoping to understand the process for nominating a member for a vacant Governing Board spot</w:t>
      </w:r>
    </w:p>
    <w:p w14:paraId="656D875C" w14:textId="65F9D9BC" w:rsidR="00446923" w:rsidRDefault="001C0E42" w:rsidP="001C0E42">
      <w:pPr>
        <w:spacing w:after="0" w:line="240" w:lineRule="auto"/>
        <w:jc w:val="both"/>
      </w:pPr>
      <w:r>
        <w:t xml:space="preserve">Seeking to determine whether it’s possible to fill this vacancy through the Heading Home Committee that had the local connection with the exiting Governing Board member or whether it should go directly to the agency that the GB member left. </w:t>
      </w:r>
    </w:p>
    <w:p w14:paraId="09F21944" w14:textId="2CD420BD" w:rsidR="001C0E42" w:rsidRPr="00446923" w:rsidRDefault="001C0E42" w:rsidP="001C0E42">
      <w:pPr>
        <w:spacing w:after="0" w:line="240" w:lineRule="auto"/>
        <w:jc w:val="both"/>
      </w:pPr>
      <w:r>
        <w:t>Rebecca noted that it makes sense to bring this to the Heading Home Coalition for a vote to determine whom would be most appropriate to slot into this voting member vacancy. Liz requested that this be paused given that we implemented processes for voting from Director’s Council to review candidates. Bringing this to the next Executive Committee meeting scheduled for July 5</w:t>
      </w:r>
      <w:r w:rsidRPr="001C0E42">
        <w:rPr>
          <w:vertAlign w:val="superscript"/>
        </w:rPr>
        <w:t>th</w:t>
      </w:r>
      <w:r>
        <w:t xml:space="preserve"> before going back to Heading Home Washington with next step recommendations. </w:t>
      </w:r>
    </w:p>
    <w:sectPr w:rsidR="001C0E42" w:rsidRPr="00446923" w:rsidSect="001C0E4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2B19" w14:textId="77777777" w:rsidR="001C0E42" w:rsidRDefault="001C0E42" w:rsidP="001C0E42">
      <w:pPr>
        <w:spacing w:after="0" w:line="240" w:lineRule="auto"/>
      </w:pPr>
      <w:r>
        <w:separator/>
      </w:r>
    </w:p>
  </w:endnote>
  <w:endnote w:type="continuationSeparator" w:id="0">
    <w:p w14:paraId="0459A4A7" w14:textId="77777777" w:rsidR="001C0E42" w:rsidRDefault="001C0E42" w:rsidP="001C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7276" w14:textId="77777777" w:rsidR="001C0E42" w:rsidRDefault="001C0E42" w:rsidP="001C0E42">
      <w:pPr>
        <w:spacing w:after="0" w:line="240" w:lineRule="auto"/>
      </w:pPr>
      <w:r>
        <w:separator/>
      </w:r>
    </w:p>
  </w:footnote>
  <w:footnote w:type="continuationSeparator" w:id="0">
    <w:p w14:paraId="2966B700" w14:textId="77777777" w:rsidR="001C0E42" w:rsidRDefault="001C0E42" w:rsidP="001C0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2D9A" w14:textId="77777777" w:rsidR="001C0E42" w:rsidRDefault="001C0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49F"/>
    <w:multiLevelType w:val="hybridMultilevel"/>
    <w:tmpl w:val="32266ADA"/>
    <w:lvl w:ilvl="0" w:tplc="C346E3B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B79F1"/>
    <w:multiLevelType w:val="hybridMultilevel"/>
    <w:tmpl w:val="E4D44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6B7FA4"/>
    <w:multiLevelType w:val="hybridMultilevel"/>
    <w:tmpl w:val="E4005C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C324E"/>
    <w:multiLevelType w:val="hybridMultilevel"/>
    <w:tmpl w:val="1422BB02"/>
    <w:lvl w:ilvl="0" w:tplc="5E1A8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A4683"/>
    <w:multiLevelType w:val="hybridMultilevel"/>
    <w:tmpl w:val="022C9ED0"/>
    <w:lvl w:ilvl="0" w:tplc="07C68C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82F4C"/>
    <w:multiLevelType w:val="hybridMultilevel"/>
    <w:tmpl w:val="4E44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3B6A"/>
    <w:multiLevelType w:val="hybridMultilevel"/>
    <w:tmpl w:val="FD30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453127">
    <w:abstractNumId w:val="2"/>
  </w:num>
  <w:num w:numId="2" w16cid:durableId="1937055056">
    <w:abstractNumId w:val="1"/>
  </w:num>
  <w:num w:numId="3" w16cid:durableId="837815676">
    <w:abstractNumId w:val="4"/>
  </w:num>
  <w:num w:numId="4" w16cid:durableId="1464075172">
    <w:abstractNumId w:val="5"/>
  </w:num>
  <w:num w:numId="5" w16cid:durableId="715088849">
    <w:abstractNumId w:val="3"/>
  </w:num>
  <w:num w:numId="6" w16cid:durableId="109907421">
    <w:abstractNumId w:val="6"/>
  </w:num>
  <w:num w:numId="7" w16cid:durableId="5913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80"/>
    <w:rsid w:val="000007E9"/>
    <w:rsid w:val="00006CF2"/>
    <w:rsid w:val="00031046"/>
    <w:rsid w:val="000437E2"/>
    <w:rsid w:val="00061E5E"/>
    <w:rsid w:val="00070D4F"/>
    <w:rsid w:val="00077BBC"/>
    <w:rsid w:val="00081790"/>
    <w:rsid w:val="00086932"/>
    <w:rsid w:val="00094832"/>
    <w:rsid w:val="00096989"/>
    <w:rsid w:val="000A03EE"/>
    <w:rsid w:val="000A7790"/>
    <w:rsid w:val="000B70C4"/>
    <w:rsid w:val="000D3B41"/>
    <w:rsid w:val="000E4951"/>
    <w:rsid w:val="000F7B83"/>
    <w:rsid w:val="00124203"/>
    <w:rsid w:val="00132818"/>
    <w:rsid w:val="00136C73"/>
    <w:rsid w:val="00171E0D"/>
    <w:rsid w:val="00176331"/>
    <w:rsid w:val="00176806"/>
    <w:rsid w:val="001826E3"/>
    <w:rsid w:val="00191C4B"/>
    <w:rsid w:val="001A4F5C"/>
    <w:rsid w:val="001C06BF"/>
    <w:rsid w:val="001C0E42"/>
    <w:rsid w:val="001F434A"/>
    <w:rsid w:val="002122CE"/>
    <w:rsid w:val="002125E6"/>
    <w:rsid w:val="00215AD8"/>
    <w:rsid w:val="0022214E"/>
    <w:rsid w:val="002246ED"/>
    <w:rsid w:val="002404D9"/>
    <w:rsid w:val="00242E40"/>
    <w:rsid w:val="00243434"/>
    <w:rsid w:val="00260526"/>
    <w:rsid w:val="002716C9"/>
    <w:rsid w:val="00297F09"/>
    <w:rsid w:val="002A7447"/>
    <w:rsid w:val="002B4FBA"/>
    <w:rsid w:val="002B5033"/>
    <w:rsid w:val="002B7E23"/>
    <w:rsid w:val="002E2E3A"/>
    <w:rsid w:val="002E6430"/>
    <w:rsid w:val="002F63C9"/>
    <w:rsid w:val="00305ABC"/>
    <w:rsid w:val="003063B7"/>
    <w:rsid w:val="00324FBB"/>
    <w:rsid w:val="00326EAB"/>
    <w:rsid w:val="0033457B"/>
    <w:rsid w:val="00353A14"/>
    <w:rsid w:val="00377B4F"/>
    <w:rsid w:val="00381F9D"/>
    <w:rsid w:val="00383F1A"/>
    <w:rsid w:val="00386FDF"/>
    <w:rsid w:val="003A1D4B"/>
    <w:rsid w:val="003A33C4"/>
    <w:rsid w:val="003A6959"/>
    <w:rsid w:val="003C30C0"/>
    <w:rsid w:val="003F05BC"/>
    <w:rsid w:val="00401869"/>
    <w:rsid w:val="00406E3D"/>
    <w:rsid w:val="004107D6"/>
    <w:rsid w:val="0042233B"/>
    <w:rsid w:val="0042527C"/>
    <w:rsid w:val="00425FD4"/>
    <w:rsid w:val="00433D1D"/>
    <w:rsid w:val="00434272"/>
    <w:rsid w:val="004402F9"/>
    <w:rsid w:val="00446923"/>
    <w:rsid w:val="0045751B"/>
    <w:rsid w:val="004738C9"/>
    <w:rsid w:val="004A2B12"/>
    <w:rsid w:val="004C66A3"/>
    <w:rsid w:val="004C7FDD"/>
    <w:rsid w:val="004E180E"/>
    <w:rsid w:val="004E35B6"/>
    <w:rsid w:val="004E7AD8"/>
    <w:rsid w:val="004F63C1"/>
    <w:rsid w:val="005054A9"/>
    <w:rsid w:val="00510F80"/>
    <w:rsid w:val="00514C4E"/>
    <w:rsid w:val="00521987"/>
    <w:rsid w:val="00536E8A"/>
    <w:rsid w:val="005410CF"/>
    <w:rsid w:val="00546C3E"/>
    <w:rsid w:val="00547E13"/>
    <w:rsid w:val="00556210"/>
    <w:rsid w:val="00563F80"/>
    <w:rsid w:val="00567E97"/>
    <w:rsid w:val="00570083"/>
    <w:rsid w:val="005A454A"/>
    <w:rsid w:val="005A7E55"/>
    <w:rsid w:val="005C2748"/>
    <w:rsid w:val="005C35E0"/>
    <w:rsid w:val="005E48B2"/>
    <w:rsid w:val="005E7A83"/>
    <w:rsid w:val="00614519"/>
    <w:rsid w:val="0061708F"/>
    <w:rsid w:val="00621CAB"/>
    <w:rsid w:val="006239C0"/>
    <w:rsid w:val="00644A76"/>
    <w:rsid w:val="006511AD"/>
    <w:rsid w:val="006521CC"/>
    <w:rsid w:val="00652FA8"/>
    <w:rsid w:val="00665E06"/>
    <w:rsid w:val="00666827"/>
    <w:rsid w:val="00671039"/>
    <w:rsid w:val="006773EA"/>
    <w:rsid w:val="006843DF"/>
    <w:rsid w:val="006C0D45"/>
    <w:rsid w:val="006C10EE"/>
    <w:rsid w:val="006E34AA"/>
    <w:rsid w:val="006F0050"/>
    <w:rsid w:val="00710C95"/>
    <w:rsid w:val="00715A5B"/>
    <w:rsid w:val="00737BC3"/>
    <w:rsid w:val="0074307E"/>
    <w:rsid w:val="00770701"/>
    <w:rsid w:val="00782388"/>
    <w:rsid w:val="007932FD"/>
    <w:rsid w:val="00793549"/>
    <w:rsid w:val="00793782"/>
    <w:rsid w:val="007B2441"/>
    <w:rsid w:val="007B51BB"/>
    <w:rsid w:val="007C45F4"/>
    <w:rsid w:val="007D58EA"/>
    <w:rsid w:val="007E3B0A"/>
    <w:rsid w:val="00842F04"/>
    <w:rsid w:val="008431A6"/>
    <w:rsid w:val="00857A95"/>
    <w:rsid w:val="008651C4"/>
    <w:rsid w:val="00870A98"/>
    <w:rsid w:val="00875090"/>
    <w:rsid w:val="008E647D"/>
    <w:rsid w:val="008F2F0A"/>
    <w:rsid w:val="00904C66"/>
    <w:rsid w:val="00914398"/>
    <w:rsid w:val="00914DC3"/>
    <w:rsid w:val="009151D7"/>
    <w:rsid w:val="009165EA"/>
    <w:rsid w:val="009209B0"/>
    <w:rsid w:val="00933317"/>
    <w:rsid w:val="00942B8F"/>
    <w:rsid w:val="00953FF8"/>
    <w:rsid w:val="009607AC"/>
    <w:rsid w:val="00963097"/>
    <w:rsid w:val="00963188"/>
    <w:rsid w:val="00966BAB"/>
    <w:rsid w:val="00982CF4"/>
    <w:rsid w:val="00995284"/>
    <w:rsid w:val="009A2936"/>
    <w:rsid w:val="009A5E92"/>
    <w:rsid w:val="009B0AB6"/>
    <w:rsid w:val="009B3CF9"/>
    <w:rsid w:val="009C2EDE"/>
    <w:rsid w:val="009E43FC"/>
    <w:rsid w:val="009F3B3C"/>
    <w:rsid w:val="009F68F5"/>
    <w:rsid w:val="00A118EF"/>
    <w:rsid w:val="00A12AD8"/>
    <w:rsid w:val="00A2142B"/>
    <w:rsid w:val="00A22929"/>
    <w:rsid w:val="00A317FE"/>
    <w:rsid w:val="00A410D6"/>
    <w:rsid w:val="00A51F25"/>
    <w:rsid w:val="00A556C6"/>
    <w:rsid w:val="00A621B4"/>
    <w:rsid w:val="00A63044"/>
    <w:rsid w:val="00A650F1"/>
    <w:rsid w:val="00A72767"/>
    <w:rsid w:val="00A7482F"/>
    <w:rsid w:val="00A7651C"/>
    <w:rsid w:val="00A977B1"/>
    <w:rsid w:val="00A97937"/>
    <w:rsid w:val="00AA648F"/>
    <w:rsid w:val="00AD28B0"/>
    <w:rsid w:val="00AF229D"/>
    <w:rsid w:val="00AF6B86"/>
    <w:rsid w:val="00B06239"/>
    <w:rsid w:val="00B10F38"/>
    <w:rsid w:val="00B261D1"/>
    <w:rsid w:val="00B41BEA"/>
    <w:rsid w:val="00B42D92"/>
    <w:rsid w:val="00B4585A"/>
    <w:rsid w:val="00B540E2"/>
    <w:rsid w:val="00B5453E"/>
    <w:rsid w:val="00B74AFD"/>
    <w:rsid w:val="00BA2279"/>
    <w:rsid w:val="00BB08C6"/>
    <w:rsid w:val="00BB6877"/>
    <w:rsid w:val="00BB6F4D"/>
    <w:rsid w:val="00BB76F4"/>
    <w:rsid w:val="00BD115F"/>
    <w:rsid w:val="00C032A4"/>
    <w:rsid w:val="00C03FAF"/>
    <w:rsid w:val="00C15EB6"/>
    <w:rsid w:val="00C4659C"/>
    <w:rsid w:val="00C505F6"/>
    <w:rsid w:val="00C6036E"/>
    <w:rsid w:val="00C71277"/>
    <w:rsid w:val="00C772E3"/>
    <w:rsid w:val="00C92B91"/>
    <w:rsid w:val="00CB2175"/>
    <w:rsid w:val="00CB76CB"/>
    <w:rsid w:val="00CC03EB"/>
    <w:rsid w:val="00CD52EE"/>
    <w:rsid w:val="00CD57D0"/>
    <w:rsid w:val="00CD6EC8"/>
    <w:rsid w:val="00CD7075"/>
    <w:rsid w:val="00CD7E04"/>
    <w:rsid w:val="00CE2CFD"/>
    <w:rsid w:val="00CE52FE"/>
    <w:rsid w:val="00D37631"/>
    <w:rsid w:val="00D534BC"/>
    <w:rsid w:val="00D8559E"/>
    <w:rsid w:val="00D97202"/>
    <w:rsid w:val="00DD782A"/>
    <w:rsid w:val="00DE44DC"/>
    <w:rsid w:val="00DE45BA"/>
    <w:rsid w:val="00DF27C9"/>
    <w:rsid w:val="00DF3FC3"/>
    <w:rsid w:val="00E04FA0"/>
    <w:rsid w:val="00E10117"/>
    <w:rsid w:val="00E21A7D"/>
    <w:rsid w:val="00E2672F"/>
    <w:rsid w:val="00E30548"/>
    <w:rsid w:val="00E35C0E"/>
    <w:rsid w:val="00E5312F"/>
    <w:rsid w:val="00E60DAB"/>
    <w:rsid w:val="00E61284"/>
    <w:rsid w:val="00E642AE"/>
    <w:rsid w:val="00E66E33"/>
    <w:rsid w:val="00E67310"/>
    <w:rsid w:val="00E75E10"/>
    <w:rsid w:val="00E971B2"/>
    <w:rsid w:val="00EA73FF"/>
    <w:rsid w:val="00EB6571"/>
    <w:rsid w:val="00EE286A"/>
    <w:rsid w:val="00EE4431"/>
    <w:rsid w:val="00EF24F4"/>
    <w:rsid w:val="00EF4898"/>
    <w:rsid w:val="00F20AC6"/>
    <w:rsid w:val="00F21339"/>
    <w:rsid w:val="00F21D95"/>
    <w:rsid w:val="00F27104"/>
    <w:rsid w:val="00F74054"/>
    <w:rsid w:val="00F75080"/>
    <w:rsid w:val="00F867E8"/>
    <w:rsid w:val="00FA3D4F"/>
    <w:rsid w:val="00FB3D6A"/>
    <w:rsid w:val="00FC0D76"/>
    <w:rsid w:val="00FC3221"/>
    <w:rsid w:val="00FC7232"/>
    <w:rsid w:val="00FD0ADC"/>
    <w:rsid w:val="00FD50A5"/>
    <w:rsid w:val="00FE29A0"/>
    <w:rsid w:val="00FE3CF5"/>
    <w:rsid w:val="00FF413C"/>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964"/>
  <w15:chartTrackingRefBased/>
  <w15:docId w15:val="{0E4F2053-EA4B-44F2-A84E-DC1FF01D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unhideWhenUsed/>
    <w:rsid w:val="00353A14"/>
    <w:rPr>
      <w:color w:val="0000FF"/>
      <w:u w:val="single"/>
    </w:rPr>
  </w:style>
  <w:style w:type="paragraph" w:styleId="BalloonText">
    <w:name w:val="Balloon Text"/>
    <w:basedOn w:val="Normal"/>
    <w:link w:val="BalloonTextChar"/>
    <w:uiPriority w:val="99"/>
    <w:semiHidden/>
    <w:unhideWhenUsed/>
    <w:rsid w:val="001C0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BF"/>
    <w:rPr>
      <w:rFonts w:ascii="Segoe UI" w:hAnsi="Segoe UI" w:cs="Segoe UI"/>
      <w:sz w:val="18"/>
      <w:szCs w:val="18"/>
    </w:rPr>
  </w:style>
  <w:style w:type="character" w:styleId="UnresolvedMention">
    <w:name w:val="Unresolved Mention"/>
    <w:basedOn w:val="DefaultParagraphFont"/>
    <w:uiPriority w:val="99"/>
    <w:semiHidden/>
    <w:unhideWhenUsed/>
    <w:rsid w:val="00F27104"/>
    <w:rPr>
      <w:color w:val="605E5C"/>
      <w:shd w:val="clear" w:color="auto" w:fill="E1DFDD"/>
    </w:rPr>
  </w:style>
  <w:style w:type="paragraph" w:customStyle="1" w:styleId="xmsonormal">
    <w:name w:val="x_msonormal"/>
    <w:basedOn w:val="Normal"/>
    <w:rsid w:val="001C0E42"/>
    <w:pPr>
      <w:spacing w:after="0" w:line="240" w:lineRule="auto"/>
    </w:pPr>
    <w:rPr>
      <w:rFonts w:ascii="Calibri" w:hAnsi="Calibri" w:cs="Calibri"/>
    </w:rPr>
  </w:style>
  <w:style w:type="table" w:styleId="TableGrid">
    <w:name w:val="Table Grid"/>
    <w:basedOn w:val="TableNormal"/>
    <w:uiPriority w:val="59"/>
    <w:rsid w:val="001C0E42"/>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E42"/>
  </w:style>
  <w:style w:type="paragraph" w:styleId="Footer">
    <w:name w:val="footer"/>
    <w:basedOn w:val="Normal"/>
    <w:link w:val="FooterChar"/>
    <w:uiPriority w:val="99"/>
    <w:unhideWhenUsed/>
    <w:rsid w:val="001C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7192">
      <w:bodyDiv w:val="1"/>
      <w:marLeft w:val="0"/>
      <w:marRight w:val="0"/>
      <w:marTop w:val="0"/>
      <w:marBottom w:val="0"/>
      <w:divBdr>
        <w:top w:val="none" w:sz="0" w:space="0" w:color="auto"/>
        <w:left w:val="none" w:sz="0" w:space="0" w:color="auto"/>
        <w:bottom w:val="none" w:sz="0" w:space="0" w:color="auto"/>
        <w:right w:val="none" w:sz="0" w:space="0" w:color="auto"/>
      </w:divBdr>
    </w:div>
    <w:div w:id="701780502">
      <w:bodyDiv w:val="1"/>
      <w:marLeft w:val="0"/>
      <w:marRight w:val="0"/>
      <w:marTop w:val="0"/>
      <w:marBottom w:val="0"/>
      <w:divBdr>
        <w:top w:val="none" w:sz="0" w:space="0" w:color="auto"/>
        <w:left w:val="none" w:sz="0" w:space="0" w:color="auto"/>
        <w:bottom w:val="none" w:sz="0" w:space="0" w:color="auto"/>
        <w:right w:val="none" w:sz="0" w:space="0" w:color="auto"/>
      </w:divBdr>
    </w:div>
    <w:div w:id="1452087557">
      <w:bodyDiv w:val="1"/>
      <w:marLeft w:val="0"/>
      <w:marRight w:val="0"/>
      <w:marTop w:val="0"/>
      <w:marBottom w:val="0"/>
      <w:divBdr>
        <w:top w:val="none" w:sz="0" w:space="0" w:color="auto"/>
        <w:left w:val="none" w:sz="0" w:space="0" w:color="auto"/>
        <w:bottom w:val="none" w:sz="0" w:space="0" w:color="auto"/>
        <w:right w:val="none" w:sz="0" w:space="0" w:color="auto"/>
      </w:divBdr>
    </w:div>
    <w:div w:id="1502038794">
      <w:bodyDiv w:val="1"/>
      <w:marLeft w:val="0"/>
      <w:marRight w:val="0"/>
      <w:marTop w:val="0"/>
      <w:marBottom w:val="0"/>
      <w:divBdr>
        <w:top w:val="none" w:sz="0" w:space="0" w:color="auto"/>
        <w:left w:val="none" w:sz="0" w:space="0" w:color="auto"/>
        <w:bottom w:val="none" w:sz="0" w:space="0" w:color="auto"/>
        <w:right w:val="none" w:sz="0" w:space="0" w:color="auto"/>
      </w:divBdr>
    </w:div>
    <w:div w:id="1579439700">
      <w:bodyDiv w:val="1"/>
      <w:marLeft w:val="0"/>
      <w:marRight w:val="0"/>
      <w:marTop w:val="0"/>
      <w:marBottom w:val="0"/>
      <w:divBdr>
        <w:top w:val="none" w:sz="0" w:space="0" w:color="auto"/>
        <w:left w:val="none" w:sz="0" w:space="0" w:color="auto"/>
        <w:bottom w:val="none" w:sz="0" w:space="0" w:color="auto"/>
        <w:right w:val="none" w:sz="0" w:space="0" w:color="auto"/>
      </w:divBdr>
    </w:div>
    <w:div w:id="1874729877">
      <w:bodyDiv w:val="1"/>
      <w:marLeft w:val="0"/>
      <w:marRight w:val="0"/>
      <w:marTop w:val="0"/>
      <w:marBottom w:val="0"/>
      <w:divBdr>
        <w:top w:val="none" w:sz="0" w:space="0" w:color="auto"/>
        <w:left w:val="none" w:sz="0" w:space="0" w:color="auto"/>
        <w:bottom w:val="none" w:sz="0" w:space="0" w:color="auto"/>
        <w:right w:val="none" w:sz="0" w:space="0" w:color="auto"/>
      </w:divBdr>
    </w:div>
    <w:div w:id="1896089007">
      <w:bodyDiv w:val="1"/>
      <w:marLeft w:val="0"/>
      <w:marRight w:val="0"/>
      <w:marTop w:val="0"/>
      <w:marBottom w:val="0"/>
      <w:divBdr>
        <w:top w:val="none" w:sz="0" w:space="0" w:color="auto"/>
        <w:left w:val="none" w:sz="0" w:space="0" w:color="auto"/>
        <w:bottom w:val="none" w:sz="0" w:space="0" w:color="auto"/>
        <w:right w:val="none" w:sz="0" w:space="0" w:color="auto"/>
      </w:divBdr>
    </w:div>
    <w:div w:id="19100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trocouncil.org/Housing/Publications-And-Resources/METRO-HRA/Section-8-Waiting-List-Public-Notice.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8" ma:contentTypeDescription="Create a new document." ma:contentTypeScope="" ma:versionID="cb4c5648bcb410fe5056bbed58873c60">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54c9021ba1fe882b4f2b648edb012c47"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261626-b084-47c7-8262-f392d6ac4c3b}"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06C27-D558-422D-A035-774B5E85AD39}">
  <ds:schemaRefs>
    <ds:schemaRef ds:uri="http://schemas.microsoft.com/sharepoint/v3/contenttype/forms"/>
  </ds:schemaRefs>
</ds:datastoreItem>
</file>

<file path=customXml/itemProps2.xml><?xml version="1.0" encoding="utf-8"?>
<ds:datastoreItem xmlns:ds="http://schemas.openxmlformats.org/officeDocument/2006/customXml" ds:itemID="{89A0FEA4-613E-47B7-8AF9-7F9B5F7827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94638D-A0F9-438A-AF57-2EB093021E28}"/>
</file>

<file path=docProps/app.xml><?xml version="1.0" encoding="utf-8"?>
<Properties xmlns="http://schemas.openxmlformats.org/officeDocument/2006/extended-properties" xmlns:vt="http://schemas.openxmlformats.org/officeDocument/2006/docPropsVTypes">
  <Template>Normal</Template>
  <TotalTime>1</TotalTime>
  <Pages>6</Pages>
  <Words>2351</Words>
  <Characters>13401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Liz Moen</cp:lastModifiedBy>
  <cp:revision>2</cp:revision>
  <dcterms:created xsi:type="dcterms:W3CDTF">2022-07-19T17:40:00Z</dcterms:created>
  <dcterms:modified xsi:type="dcterms:W3CDTF">2022-07-19T17:40:00Z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ies>
</file>