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FC40" w14:textId="75973BA6" w:rsidR="005C35E0" w:rsidRDefault="00F75080" w:rsidP="005C35E0">
      <w:pPr>
        <w:pStyle w:val="Title"/>
        <w:jc w:val="center"/>
      </w:pPr>
      <w:r>
        <w:t>SMAC</w:t>
      </w:r>
      <w:r w:rsidR="00A650F1">
        <w:t xml:space="preserve"> Governing Board</w:t>
      </w:r>
      <w:r>
        <w:t xml:space="preserve"> </w:t>
      </w:r>
      <w:r w:rsidR="00776347">
        <w:t>Minutes</w:t>
      </w:r>
    </w:p>
    <w:p w14:paraId="07989F02" w14:textId="6852F326" w:rsidR="00C03FAF" w:rsidRDefault="00C772E3" w:rsidP="002A7447">
      <w:pPr>
        <w:pStyle w:val="Subtitle"/>
        <w:jc w:val="center"/>
      </w:pPr>
      <w:r>
        <w:t>August 21</w:t>
      </w:r>
      <w:r w:rsidR="00665E06">
        <w:t>, 2020</w:t>
      </w:r>
    </w:p>
    <w:p w14:paraId="1CE83F30" w14:textId="7B1E5B94" w:rsidR="00A72767" w:rsidRPr="00A72767" w:rsidRDefault="00776347" w:rsidP="00776347">
      <w:r w:rsidRPr="00776347">
        <w:rPr>
          <w:rFonts w:ascii="Helvetica" w:eastAsia="Times New Roman" w:hAnsi="Helvetica"/>
          <w:color w:val="475163"/>
          <w:sz w:val="21"/>
          <w:szCs w:val="21"/>
        </w:rPr>
        <w:t xml:space="preserve">Attendance: </w:t>
      </w:r>
      <w:r w:rsidR="00CF6EBC" w:rsidRPr="00CF6EBC">
        <w:rPr>
          <w:rFonts w:ascii="Helvetica" w:eastAsia="Times New Roman" w:hAnsi="Helvetica"/>
          <w:color w:val="475163"/>
          <w:sz w:val="21"/>
          <w:szCs w:val="21"/>
        </w:rPr>
        <w:t>Denise S</w:t>
      </w:r>
      <w:r w:rsidR="00CF6EBC">
        <w:rPr>
          <w:rFonts w:ascii="Helvetica" w:eastAsia="Times New Roman" w:hAnsi="Helvetica"/>
          <w:color w:val="475163"/>
          <w:sz w:val="21"/>
          <w:szCs w:val="21"/>
        </w:rPr>
        <w:t xml:space="preserve">mieja, </w:t>
      </w:r>
      <w:r w:rsidR="00CF6EBC" w:rsidRPr="00CF6EBC">
        <w:rPr>
          <w:rFonts w:ascii="Helvetica" w:eastAsia="Times New Roman" w:hAnsi="Helvetica"/>
          <w:color w:val="475163"/>
          <w:sz w:val="21"/>
          <w:szCs w:val="21"/>
        </w:rPr>
        <w:t>Liz Moen</w:t>
      </w:r>
      <w:r w:rsidR="00CF6EBC">
        <w:rPr>
          <w:rFonts w:ascii="Helvetica" w:eastAsia="Times New Roman" w:hAnsi="Helvetica"/>
          <w:color w:val="475163"/>
          <w:sz w:val="21"/>
          <w:szCs w:val="21"/>
        </w:rPr>
        <w:t xml:space="preserve">, </w:t>
      </w:r>
      <w:r w:rsidRPr="00776347">
        <w:rPr>
          <w:rFonts w:ascii="Helvetica" w:eastAsia="Times New Roman" w:hAnsi="Helvetica"/>
          <w:color w:val="475163"/>
          <w:sz w:val="21"/>
          <w:szCs w:val="21"/>
        </w:rPr>
        <w:t xml:space="preserve">Abby Guilford, </w:t>
      </w:r>
      <w:r w:rsidR="00CF6EBC" w:rsidRPr="00CF6EBC">
        <w:rPr>
          <w:rFonts w:ascii="Helvetica" w:eastAsia="Times New Roman" w:hAnsi="Helvetica"/>
          <w:color w:val="475163"/>
          <w:sz w:val="21"/>
          <w:szCs w:val="21"/>
        </w:rPr>
        <w:t xml:space="preserve">Bradley </w:t>
      </w:r>
      <w:proofErr w:type="spellStart"/>
      <w:r w:rsidR="00CF6EBC" w:rsidRPr="00CF6EBC">
        <w:rPr>
          <w:rFonts w:ascii="Helvetica" w:eastAsia="Times New Roman" w:hAnsi="Helvetica"/>
          <w:color w:val="475163"/>
          <w:sz w:val="21"/>
          <w:szCs w:val="21"/>
        </w:rPr>
        <w:t>Legrid</w:t>
      </w:r>
      <w:proofErr w:type="spellEnd"/>
      <w:r w:rsidR="00CF6EBC">
        <w:rPr>
          <w:rFonts w:ascii="Helvetica" w:eastAsia="Times New Roman" w:hAnsi="Helvetica"/>
          <w:color w:val="475163"/>
          <w:sz w:val="21"/>
          <w:szCs w:val="21"/>
        </w:rPr>
        <w:t xml:space="preserve">, </w:t>
      </w:r>
      <w:r w:rsidR="00CF6EBC" w:rsidRPr="00776347">
        <w:rPr>
          <w:rFonts w:ascii="Helvetica" w:eastAsia="Times New Roman" w:hAnsi="Helvetica"/>
          <w:color w:val="475163"/>
          <w:sz w:val="21"/>
          <w:szCs w:val="21"/>
        </w:rPr>
        <w:t xml:space="preserve">Heather </w:t>
      </w:r>
      <w:proofErr w:type="spellStart"/>
      <w:r w:rsidR="00CF6EBC" w:rsidRPr="00776347">
        <w:rPr>
          <w:rFonts w:ascii="Helvetica" w:eastAsia="Times New Roman" w:hAnsi="Helvetica"/>
          <w:color w:val="475163"/>
          <w:sz w:val="21"/>
          <w:szCs w:val="21"/>
        </w:rPr>
        <w:t>Duchscherer</w:t>
      </w:r>
      <w:proofErr w:type="spellEnd"/>
      <w:r w:rsidR="00CF6EBC" w:rsidRPr="00776347">
        <w:rPr>
          <w:rFonts w:ascii="Helvetica" w:eastAsia="Times New Roman" w:hAnsi="Helvetica"/>
          <w:color w:val="475163"/>
          <w:sz w:val="21"/>
          <w:szCs w:val="21"/>
        </w:rPr>
        <w:t>,</w:t>
      </w:r>
      <w:r w:rsidR="00CF6EBC">
        <w:rPr>
          <w:rFonts w:ascii="Helvetica" w:eastAsia="Times New Roman" w:hAnsi="Helvetica"/>
          <w:color w:val="475163"/>
          <w:sz w:val="21"/>
          <w:szCs w:val="21"/>
        </w:rPr>
        <w:t xml:space="preserve"> </w:t>
      </w:r>
      <w:r w:rsidR="00CF6EBC" w:rsidRPr="00776347">
        <w:rPr>
          <w:rFonts w:ascii="Helvetica" w:eastAsia="Times New Roman" w:hAnsi="Helvetica"/>
          <w:color w:val="475163"/>
          <w:sz w:val="21"/>
          <w:szCs w:val="21"/>
        </w:rPr>
        <w:t>Rochelle Washington,</w:t>
      </w:r>
      <w:r w:rsidR="00CF6EBC">
        <w:rPr>
          <w:rFonts w:ascii="Helvetica" w:eastAsia="Times New Roman" w:hAnsi="Helvetica"/>
          <w:color w:val="475163"/>
          <w:sz w:val="21"/>
          <w:szCs w:val="21"/>
        </w:rPr>
        <w:t xml:space="preserve">  </w:t>
      </w:r>
      <w:r w:rsidR="00C54180">
        <w:rPr>
          <w:rFonts w:ascii="Helvetica" w:eastAsia="Times New Roman" w:hAnsi="Helvetica"/>
          <w:color w:val="475163"/>
          <w:sz w:val="21"/>
          <w:szCs w:val="21"/>
        </w:rPr>
        <w:t>Abigail,</w:t>
      </w:r>
      <w:r w:rsidR="00CF6EBC" w:rsidRPr="00776347">
        <w:rPr>
          <w:rFonts w:ascii="Helvetica" w:eastAsia="Times New Roman" w:hAnsi="Helvetica"/>
          <w:color w:val="475163"/>
          <w:sz w:val="21"/>
          <w:szCs w:val="21"/>
        </w:rPr>
        <w:t xml:space="preserve"> </w:t>
      </w:r>
      <w:r w:rsidR="008028DC">
        <w:rPr>
          <w:rFonts w:ascii="Helvetica" w:eastAsia="Times New Roman" w:hAnsi="Helvetica"/>
          <w:color w:val="475163"/>
          <w:sz w:val="21"/>
          <w:szCs w:val="21"/>
        </w:rPr>
        <w:t xml:space="preserve">Alyssa Paulson, </w:t>
      </w:r>
      <w:r w:rsidR="008028DC" w:rsidRPr="008028DC">
        <w:rPr>
          <w:rFonts w:ascii="Helvetica" w:eastAsia="Times New Roman" w:hAnsi="Helvetica"/>
          <w:color w:val="475163"/>
          <w:sz w:val="21"/>
          <w:szCs w:val="21"/>
        </w:rPr>
        <w:t>Alyssa Kleiner</w:t>
      </w:r>
      <w:r w:rsidRPr="00776347">
        <w:rPr>
          <w:rFonts w:ascii="Helvetica" w:eastAsia="Times New Roman" w:hAnsi="Helvetica"/>
          <w:color w:val="475163"/>
          <w:sz w:val="21"/>
          <w:szCs w:val="21"/>
        </w:rPr>
        <w:t xml:space="preserve">, Barb </w:t>
      </w:r>
      <w:proofErr w:type="spellStart"/>
      <w:r w:rsidRPr="00776347">
        <w:rPr>
          <w:rFonts w:ascii="Helvetica" w:eastAsia="Times New Roman" w:hAnsi="Helvetica"/>
          <w:color w:val="475163"/>
          <w:sz w:val="21"/>
          <w:szCs w:val="21"/>
        </w:rPr>
        <w:t>Sopp</w:t>
      </w:r>
      <w:proofErr w:type="spellEnd"/>
      <w:r w:rsidRPr="00776347">
        <w:rPr>
          <w:rFonts w:ascii="Helvetica" w:eastAsia="Times New Roman" w:hAnsi="Helvetica"/>
          <w:color w:val="475163"/>
          <w:sz w:val="21"/>
          <w:szCs w:val="21"/>
        </w:rPr>
        <w:t>,</w:t>
      </w:r>
      <w:r w:rsidR="00CF6EBC" w:rsidRPr="00CF6EBC">
        <w:rPr>
          <w:rFonts w:ascii="Helvetica" w:eastAsia="Times New Roman" w:hAnsi="Helvetica"/>
          <w:color w:val="475163"/>
          <w:sz w:val="21"/>
          <w:szCs w:val="21"/>
        </w:rPr>
        <w:t xml:space="preserve"> </w:t>
      </w:r>
      <w:r w:rsidR="00CF6EBC" w:rsidRPr="00CF6EBC">
        <w:rPr>
          <w:rFonts w:ascii="Helvetica" w:eastAsia="Times New Roman" w:hAnsi="Helvetica"/>
          <w:color w:val="475163"/>
          <w:sz w:val="21"/>
          <w:szCs w:val="21"/>
        </w:rPr>
        <w:t>Dolores Castillo</w:t>
      </w:r>
      <w:r w:rsidR="00CF6EBC">
        <w:rPr>
          <w:rFonts w:ascii="Helvetica" w:eastAsia="Times New Roman" w:hAnsi="Helvetica"/>
          <w:color w:val="475163"/>
          <w:sz w:val="21"/>
          <w:szCs w:val="21"/>
        </w:rPr>
        <w:t>,</w:t>
      </w:r>
      <w:r w:rsidR="00CF6EBC" w:rsidRPr="00CF6EBC">
        <w:rPr>
          <w:rFonts w:ascii="Helvetica" w:eastAsia="Times New Roman" w:hAnsi="Helvetica"/>
          <w:color w:val="475163"/>
          <w:sz w:val="21"/>
          <w:szCs w:val="21"/>
        </w:rPr>
        <w:t xml:space="preserve"> </w:t>
      </w:r>
      <w:r w:rsidR="00173CAA">
        <w:rPr>
          <w:rFonts w:ascii="Helvetica" w:eastAsia="Times New Roman" w:hAnsi="Helvetica"/>
          <w:color w:val="475163"/>
          <w:sz w:val="21"/>
          <w:szCs w:val="21"/>
        </w:rPr>
        <w:t xml:space="preserve">Doreen, </w:t>
      </w:r>
      <w:r w:rsidR="00CF6EBC" w:rsidRPr="00776347">
        <w:rPr>
          <w:rFonts w:ascii="Helvetica" w:eastAsia="Times New Roman" w:hAnsi="Helvetica"/>
          <w:color w:val="475163"/>
          <w:sz w:val="21"/>
          <w:szCs w:val="21"/>
        </w:rPr>
        <w:t xml:space="preserve">Matt Lewis, </w:t>
      </w:r>
      <w:r w:rsidR="00CF6EBC">
        <w:rPr>
          <w:rFonts w:ascii="Helvetica" w:eastAsia="Times New Roman" w:hAnsi="Helvetica"/>
          <w:color w:val="475163"/>
          <w:sz w:val="21"/>
          <w:szCs w:val="21"/>
        </w:rPr>
        <w:t xml:space="preserve"> </w:t>
      </w:r>
      <w:r w:rsidRPr="00776347">
        <w:rPr>
          <w:rFonts w:ascii="Helvetica" w:eastAsia="Times New Roman" w:hAnsi="Helvetica"/>
          <w:color w:val="475163"/>
          <w:sz w:val="21"/>
          <w:szCs w:val="21"/>
        </w:rPr>
        <w:t xml:space="preserve"> Betty </w:t>
      </w:r>
      <w:proofErr w:type="spellStart"/>
      <w:r w:rsidRPr="00776347">
        <w:rPr>
          <w:rFonts w:ascii="Helvetica" w:eastAsia="Times New Roman" w:hAnsi="Helvetica"/>
          <w:color w:val="475163"/>
          <w:sz w:val="21"/>
          <w:szCs w:val="21"/>
        </w:rPr>
        <w:t>Notto</w:t>
      </w:r>
      <w:proofErr w:type="spellEnd"/>
      <w:r w:rsidRPr="00776347">
        <w:rPr>
          <w:rFonts w:ascii="Helvetica" w:eastAsia="Times New Roman" w:hAnsi="Helvetica"/>
          <w:color w:val="475163"/>
          <w:sz w:val="21"/>
          <w:szCs w:val="21"/>
        </w:rPr>
        <w:t>,</w:t>
      </w:r>
      <w:r w:rsidR="00CF6EBC" w:rsidRPr="00776347">
        <w:rPr>
          <w:rFonts w:ascii="Helvetica" w:eastAsia="Times New Roman" w:hAnsi="Helvetica"/>
          <w:color w:val="475163"/>
          <w:sz w:val="21"/>
          <w:szCs w:val="21"/>
        </w:rPr>
        <w:t xml:space="preserve"> </w:t>
      </w:r>
      <w:r w:rsidRPr="00776347">
        <w:rPr>
          <w:rFonts w:ascii="Helvetica" w:eastAsia="Times New Roman" w:hAnsi="Helvetica"/>
          <w:color w:val="475163"/>
          <w:sz w:val="21"/>
          <w:szCs w:val="21"/>
        </w:rPr>
        <w:t xml:space="preserve">, Dan Lauer-Schumacher, </w:t>
      </w:r>
      <w:r w:rsidR="008028DC">
        <w:rPr>
          <w:rFonts w:ascii="Helvetica" w:eastAsia="Times New Roman" w:hAnsi="Helvetica"/>
          <w:color w:val="475163"/>
          <w:sz w:val="21"/>
          <w:szCs w:val="21"/>
        </w:rPr>
        <w:t xml:space="preserve">Dana </w:t>
      </w:r>
      <w:proofErr w:type="spellStart"/>
      <w:r w:rsidR="008028DC">
        <w:rPr>
          <w:rFonts w:ascii="Helvetica" w:eastAsia="Times New Roman" w:hAnsi="Helvetica"/>
          <w:color w:val="475163"/>
          <w:sz w:val="21"/>
          <w:szCs w:val="21"/>
        </w:rPr>
        <w:t>Dumbacher</w:t>
      </w:r>
      <w:proofErr w:type="spellEnd"/>
      <w:r w:rsidR="008028DC">
        <w:rPr>
          <w:rFonts w:ascii="Helvetica" w:eastAsia="Times New Roman" w:hAnsi="Helvetica"/>
          <w:color w:val="475163"/>
          <w:sz w:val="21"/>
          <w:szCs w:val="21"/>
        </w:rPr>
        <w:t xml:space="preserve">, , </w:t>
      </w:r>
      <w:r w:rsidR="008028DC" w:rsidRPr="008028DC">
        <w:rPr>
          <w:rFonts w:ascii="Helvetica" w:eastAsia="Times New Roman" w:hAnsi="Helvetica"/>
          <w:color w:val="475163"/>
          <w:sz w:val="21"/>
          <w:szCs w:val="21"/>
        </w:rPr>
        <w:t xml:space="preserve">Jessica </w:t>
      </w:r>
      <w:proofErr w:type="spellStart"/>
      <w:r w:rsidR="008028DC" w:rsidRPr="008028DC">
        <w:rPr>
          <w:rFonts w:ascii="Helvetica" w:eastAsia="Times New Roman" w:hAnsi="Helvetica"/>
          <w:color w:val="475163"/>
          <w:sz w:val="21"/>
          <w:szCs w:val="21"/>
        </w:rPr>
        <w:t>Hering</w:t>
      </w:r>
      <w:proofErr w:type="spellEnd"/>
      <w:r w:rsidR="008028DC" w:rsidRPr="008028DC">
        <w:rPr>
          <w:rFonts w:ascii="Helvetica" w:eastAsia="Times New Roman" w:hAnsi="Helvetica"/>
          <w:color w:val="475163"/>
          <w:sz w:val="21"/>
          <w:szCs w:val="21"/>
        </w:rPr>
        <w:t xml:space="preserve"> </w:t>
      </w:r>
      <w:r w:rsidRPr="00776347">
        <w:rPr>
          <w:rFonts w:ascii="Helvetica" w:eastAsia="Times New Roman" w:hAnsi="Helvetica"/>
          <w:color w:val="475163"/>
          <w:sz w:val="21"/>
          <w:szCs w:val="21"/>
        </w:rPr>
        <w:t xml:space="preserve">James Baron, </w:t>
      </w:r>
      <w:r w:rsidR="00C54180">
        <w:rPr>
          <w:rFonts w:ascii="Helvetica" w:eastAsia="Times New Roman" w:hAnsi="Helvetica"/>
          <w:color w:val="475163"/>
          <w:sz w:val="21"/>
          <w:szCs w:val="21"/>
        </w:rPr>
        <w:t xml:space="preserve">Jenelle Schmid, Jen Romero, </w:t>
      </w:r>
      <w:r w:rsidRPr="00776347">
        <w:rPr>
          <w:rFonts w:ascii="Helvetica" w:eastAsia="Times New Roman" w:hAnsi="Helvetica"/>
          <w:color w:val="475163"/>
          <w:sz w:val="21"/>
          <w:szCs w:val="21"/>
        </w:rPr>
        <w:t xml:space="preserve">Jessica </w:t>
      </w:r>
      <w:proofErr w:type="spellStart"/>
      <w:r w:rsidRPr="00776347">
        <w:rPr>
          <w:rFonts w:ascii="Helvetica" w:eastAsia="Times New Roman" w:hAnsi="Helvetica"/>
          <w:color w:val="475163"/>
          <w:sz w:val="21"/>
          <w:szCs w:val="21"/>
        </w:rPr>
        <w:t>Hering</w:t>
      </w:r>
      <w:proofErr w:type="spellEnd"/>
      <w:r w:rsidRPr="00776347">
        <w:rPr>
          <w:rFonts w:ascii="Helvetica" w:eastAsia="Times New Roman" w:hAnsi="Helvetica"/>
          <w:color w:val="475163"/>
          <w:sz w:val="21"/>
          <w:szCs w:val="21"/>
        </w:rPr>
        <w:t xml:space="preserve">, </w:t>
      </w:r>
      <w:r w:rsidR="008028DC">
        <w:rPr>
          <w:rFonts w:ascii="Helvetica" w:eastAsia="Times New Roman" w:hAnsi="Helvetica"/>
          <w:color w:val="475163"/>
          <w:sz w:val="21"/>
          <w:szCs w:val="21"/>
        </w:rPr>
        <w:t xml:space="preserve">Kim Lieberman, </w:t>
      </w:r>
      <w:r w:rsidRPr="00776347">
        <w:rPr>
          <w:rFonts w:ascii="Helvetica" w:eastAsia="Times New Roman" w:hAnsi="Helvetica"/>
          <w:color w:val="475163"/>
          <w:sz w:val="21"/>
          <w:szCs w:val="21"/>
        </w:rPr>
        <w:t>Kristen Brown, Michele Reid,</w:t>
      </w:r>
      <w:r w:rsidR="008028DC">
        <w:rPr>
          <w:rFonts w:ascii="Helvetica" w:eastAsia="Times New Roman" w:hAnsi="Helvetica"/>
          <w:color w:val="475163"/>
          <w:sz w:val="21"/>
          <w:szCs w:val="21"/>
        </w:rPr>
        <w:t xml:space="preserve"> </w:t>
      </w:r>
      <w:r w:rsidRPr="00776347">
        <w:rPr>
          <w:rFonts w:ascii="Helvetica" w:eastAsia="Times New Roman" w:hAnsi="Helvetica"/>
          <w:color w:val="475163"/>
          <w:sz w:val="21"/>
          <w:szCs w:val="21"/>
        </w:rPr>
        <w:t xml:space="preserve">Natalie Engelmann, Rebecca Bowers, </w:t>
      </w:r>
      <w:r w:rsidR="008028DC">
        <w:rPr>
          <w:rFonts w:ascii="Helvetica" w:eastAsia="Times New Roman" w:hAnsi="Helvetica"/>
          <w:color w:val="475163"/>
          <w:sz w:val="21"/>
          <w:szCs w:val="21"/>
        </w:rPr>
        <w:t>Sarah Rensen</w:t>
      </w:r>
      <w:r w:rsidR="00C54180">
        <w:rPr>
          <w:rFonts w:ascii="Helvetica" w:eastAsia="Times New Roman" w:hAnsi="Helvetica"/>
          <w:color w:val="475163"/>
          <w:sz w:val="21"/>
          <w:szCs w:val="21"/>
        </w:rPr>
        <w:t xml:space="preserve">brink, </w:t>
      </w:r>
      <w:r w:rsidRPr="00776347">
        <w:rPr>
          <w:rFonts w:ascii="Helvetica" w:eastAsia="Times New Roman" w:hAnsi="Helvetica"/>
          <w:color w:val="475163"/>
          <w:sz w:val="21"/>
          <w:szCs w:val="21"/>
        </w:rPr>
        <w:t>Trisha Cummins-Kauffman,.</w:t>
      </w:r>
      <w:r w:rsidR="00644A76">
        <w:rPr>
          <w:rFonts w:ascii="Helvetica" w:eastAsia="Times New Roman" w:hAnsi="Helvetica"/>
          <w:color w:val="475163"/>
          <w:sz w:val="21"/>
          <w:szCs w:val="21"/>
        </w:rPr>
        <w:br/>
      </w:r>
    </w:p>
    <w:p w14:paraId="1D7CE94A" w14:textId="77777777" w:rsidR="00776347" w:rsidRDefault="00737BC3" w:rsidP="00176331">
      <w:pPr>
        <w:pStyle w:val="ListParagraph"/>
        <w:numPr>
          <w:ilvl w:val="0"/>
          <w:numId w:val="1"/>
        </w:numPr>
      </w:pPr>
      <w:r>
        <w:t>Introductions</w:t>
      </w:r>
      <w:r>
        <w:tab/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2"/>
        <w:gridCol w:w="1238"/>
      </w:tblGrid>
      <w:tr w:rsidR="00776347" w:rsidRPr="00776347" w14:paraId="20ED0B9B" w14:textId="77777777" w:rsidTr="00F4275F"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56FC0" w14:textId="77777777" w:rsidR="00776347" w:rsidRPr="00776347" w:rsidRDefault="00776347" w:rsidP="00776347">
            <w:r w:rsidRPr="00776347">
              <w:t>Discussions 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CD750" w14:textId="77777777" w:rsidR="00776347" w:rsidRPr="00776347" w:rsidRDefault="00776347" w:rsidP="00776347">
            <w:r w:rsidRPr="00776347">
              <w:t>Actions  </w:t>
            </w:r>
          </w:p>
        </w:tc>
      </w:tr>
      <w:tr w:rsidR="00776347" w:rsidRPr="00776347" w14:paraId="386EE2A9" w14:textId="77777777" w:rsidTr="00F4275F">
        <w:tc>
          <w:tcPr>
            <w:tcW w:w="8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0E2F03B" w14:textId="0D197F17" w:rsidR="00776347" w:rsidRPr="00776347" w:rsidRDefault="00776347" w:rsidP="00776347">
            <w:r w:rsidRPr="00776347">
              <w:t> </w:t>
            </w:r>
            <w:r w:rsidR="008028DC">
              <w:t xml:space="preserve">Dakota County CARES program started 3 weeks ago. Over 200 applications already, a lot of them are utilities. Close to 1 million already.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D26E6BE" w14:textId="77777777" w:rsidR="00776347" w:rsidRPr="00776347" w:rsidRDefault="00776347" w:rsidP="00776347">
            <w:r w:rsidRPr="00776347">
              <w:t> </w:t>
            </w:r>
          </w:p>
        </w:tc>
      </w:tr>
      <w:tr w:rsidR="008028DC" w:rsidRPr="00776347" w14:paraId="734D0842" w14:textId="77777777" w:rsidTr="00F4275F">
        <w:tc>
          <w:tcPr>
            <w:tcW w:w="8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136E3" w14:textId="04107446" w:rsidR="008028DC" w:rsidRPr="00776347" w:rsidRDefault="008028DC" w:rsidP="00776347">
            <w:r>
              <w:t xml:space="preserve">Betty Noto is now with ICA. There is a restructure, meaning TJ will no longer be the rep. Betty will be the SMAC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36D18" w14:textId="77777777" w:rsidR="008028DC" w:rsidRPr="00776347" w:rsidRDefault="008028DC" w:rsidP="00776347"/>
        </w:tc>
      </w:tr>
    </w:tbl>
    <w:p w14:paraId="14CCD34E" w14:textId="45B72114" w:rsidR="004F63C1" w:rsidRDefault="00737BC3" w:rsidP="00776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767">
        <w:tab/>
      </w:r>
    </w:p>
    <w:p w14:paraId="5FD3D3A8" w14:textId="77777777" w:rsidR="00CB2175" w:rsidRDefault="00CB2175" w:rsidP="00CB2175">
      <w:pPr>
        <w:pStyle w:val="ListParagraph"/>
      </w:pPr>
    </w:p>
    <w:p w14:paraId="37D15BFE" w14:textId="0F6508B1" w:rsidR="000007E9" w:rsidRDefault="002F63C9" w:rsidP="009151D7">
      <w:pPr>
        <w:pStyle w:val="ListParagraph"/>
        <w:numPr>
          <w:ilvl w:val="0"/>
          <w:numId w:val="1"/>
        </w:numPr>
      </w:pPr>
      <w:r>
        <w:t xml:space="preserve">Approve </w:t>
      </w:r>
      <w:r w:rsidR="002B7E23">
        <w:t>J</w:t>
      </w:r>
      <w:r w:rsidR="00C772E3">
        <w:t>uly</w:t>
      </w:r>
      <w:r w:rsidR="000007E9">
        <w:t xml:space="preserve"> minutes</w:t>
      </w:r>
      <w:r w:rsidR="009151D7">
        <w:tab/>
      </w:r>
      <w:r w:rsidR="007C45F4">
        <w:tab/>
      </w:r>
      <w:r w:rsidR="009F3B3C">
        <w:tab/>
      </w:r>
      <w:r w:rsidR="00A7651C">
        <w:tab/>
      </w:r>
      <w:r w:rsidR="002404D9">
        <w:tab/>
        <w:t>*Vote Required</w:t>
      </w:r>
      <w:r w:rsidR="005C2748">
        <w:tab/>
      </w:r>
      <w:r w:rsidR="005C2748">
        <w:tab/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2"/>
        <w:gridCol w:w="1598"/>
      </w:tblGrid>
      <w:tr w:rsidR="00776347" w:rsidRPr="00776347" w14:paraId="6A2342F0" w14:textId="77777777" w:rsidTr="00F4275F"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09101" w14:textId="77777777" w:rsidR="00776347" w:rsidRPr="00776347" w:rsidRDefault="00776347" w:rsidP="00776347">
            <w:r w:rsidRPr="00776347">
              <w:t>Discussions 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7CA94" w14:textId="77777777" w:rsidR="00776347" w:rsidRPr="00776347" w:rsidRDefault="00776347" w:rsidP="00776347">
            <w:r w:rsidRPr="00776347">
              <w:t>Actions  </w:t>
            </w:r>
          </w:p>
        </w:tc>
      </w:tr>
      <w:tr w:rsidR="00776347" w:rsidRPr="00776347" w14:paraId="3C4EBB00" w14:textId="77777777" w:rsidTr="00F4275F">
        <w:tc>
          <w:tcPr>
            <w:tcW w:w="7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BF3B6" w14:textId="77777777" w:rsidR="00776347" w:rsidRPr="00776347" w:rsidRDefault="00776347" w:rsidP="00776347">
            <w:r w:rsidRPr="00776347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E0587" w14:textId="2C95CC4F" w:rsidR="00776347" w:rsidRDefault="008028DC" w:rsidP="00776347">
            <w:r>
              <w:t>Motion: Brad L</w:t>
            </w:r>
          </w:p>
          <w:p w14:paraId="773C8671" w14:textId="77777777" w:rsidR="008028DC" w:rsidRDefault="008028DC" w:rsidP="00776347">
            <w:r>
              <w:t>Second: Heather</w:t>
            </w:r>
          </w:p>
          <w:p w14:paraId="5C5176FD" w14:textId="7AF9EF69" w:rsidR="00F40BE8" w:rsidRPr="00776347" w:rsidRDefault="00F40BE8" w:rsidP="00776347">
            <w:r>
              <w:t>Motion carries</w:t>
            </w:r>
          </w:p>
        </w:tc>
      </w:tr>
    </w:tbl>
    <w:p w14:paraId="320B3290" w14:textId="77777777" w:rsidR="00776347" w:rsidRDefault="00776347" w:rsidP="00776347"/>
    <w:p w14:paraId="5C7E3FBC" w14:textId="77777777" w:rsidR="00386FDF" w:rsidRDefault="00386FDF" w:rsidP="00386FDF">
      <w:pPr>
        <w:pStyle w:val="ListParagraph"/>
      </w:pPr>
    </w:p>
    <w:p w14:paraId="6B131E59" w14:textId="2C58464D" w:rsidR="00386FDF" w:rsidRDefault="00386FDF" w:rsidP="00386FDF">
      <w:pPr>
        <w:pStyle w:val="ListParagraph"/>
        <w:numPr>
          <w:ilvl w:val="0"/>
          <w:numId w:val="1"/>
        </w:numPr>
      </w:pPr>
      <w:r>
        <w:t>Update</w:t>
      </w:r>
      <w:r>
        <w:tab/>
      </w:r>
      <w:r w:rsidR="002B5033">
        <w:tab/>
      </w:r>
      <w:r w:rsidR="002B5033">
        <w:tab/>
      </w:r>
      <w:r w:rsidR="002B5033">
        <w:tab/>
      </w:r>
      <w:r w:rsidR="002B5033">
        <w:tab/>
      </w:r>
      <w:r w:rsidR="002B5033">
        <w:tab/>
      </w:r>
      <w:r>
        <w:tab/>
      </w:r>
      <w:r>
        <w:tab/>
      </w:r>
      <w:r>
        <w:tab/>
      </w:r>
      <w:r>
        <w:tab/>
      </w:r>
    </w:p>
    <w:p w14:paraId="2E99D5C4" w14:textId="750EA62B" w:rsidR="00C772E3" w:rsidRDefault="00C772E3" w:rsidP="00776347">
      <w:pPr>
        <w:pStyle w:val="ListParagraph"/>
        <w:ind w:left="1440"/>
      </w:pPr>
    </w:p>
    <w:tbl>
      <w:tblPr>
        <w:tblW w:w="933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822"/>
        <w:gridCol w:w="1500"/>
        <w:gridCol w:w="8"/>
      </w:tblGrid>
      <w:tr w:rsidR="00776347" w:rsidRPr="00776347" w14:paraId="4B40D8BB" w14:textId="77777777" w:rsidTr="00F4275F">
        <w:trPr>
          <w:gridBefore w:val="1"/>
          <w:wBefore w:w="8" w:type="dxa"/>
        </w:trPr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B4D2FB4" w14:textId="77777777" w:rsidR="00776347" w:rsidRPr="00776347" w:rsidRDefault="00776347" w:rsidP="00776347">
            <w:r w:rsidRPr="00776347">
              <w:t>Discussions 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B2BD2C0" w14:textId="77777777" w:rsidR="00776347" w:rsidRPr="00776347" w:rsidRDefault="00776347" w:rsidP="00776347">
            <w:r w:rsidRPr="00776347">
              <w:t>Actions  </w:t>
            </w:r>
          </w:p>
        </w:tc>
      </w:tr>
      <w:tr w:rsidR="00776347" w:rsidRPr="00776347" w14:paraId="3A5245ED" w14:textId="77777777" w:rsidTr="00F4275F">
        <w:trPr>
          <w:gridAfter w:val="1"/>
          <w:wAfter w:w="8" w:type="dxa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91B0" w14:textId="382D428D" w:rsidR="00776347" w:rsidRDefault="00776347" w:rsidP="00776347">
            <w:r>
              <w:t>Executive Committee</w:t>
            </w:r>
            <w:r w:rsidR="008028DC">
              <w:t>:</w:t>
            </w:r>
          </w:p>
          <w:p w14:paraId="3B5EE51A" w14:textId="75A62224" w:rsidR="008028DC" w:rsidRDefault="008028DC" w:rsidP="00776347">
            <w:r>
              <w:t xml:space="preserve">Governing board restructure, CHAP and NOFA were discussed. All covered in other agenda items. </w:t>
            </w:r>
          </w:p>
          <w:p w14:paraId="11C754A1" w14:textId="33BCFC5B" w:rsidR="00776347" w:rsidRPr="00776347" w:rsidRDefault="00776347" w:rsidP="00776347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5E09" w14:textId="77777777" w:rsidR="00776347" w:rsidRPr="00776347" w:rsidRDefault="00776347" w:rsidP="00776347">
            <w:r w:rsidRPr="00776347">
              <w:t> </w:t>
            </w:r>
          </w:p>
        </w:tc>
      </w:tr>
      <w:tr w:rsidR="00776347" w:rsidRPr="00776347" w14:paraId="120AB0D9" w14:textId="77777777" w:rsidTr="00F4275F">
        <w:trPr>
          <w:gridAfter w:val="1"/>
          <w:wAfter w:w="8" w:type="dxa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CD92" w14:textId="77777777" w:rsidR="00776347" w:rsidRDefault="00776347" w:rsidP="00776347">
            <w:r>
              <w:t>Coordinated Entry</w:t>
            </w:r>
            <w:r w:rsidR="008028DC">
              <w:t>:</w:t>
            </w:r>
          </w:p>
          <w:p w14:paraId="05B9BF00" w14:textId="629A4365" w:rsidR="008028DC" w:rsidRDefault="008028DC" w:rsidP="00F4275F">
            <w:pPr>
              <w:pStyle w:val="ListParagraph"/>
              <w:numPr>
                <w:ilvl w:val="0"/>
                <w:numId w:val="18"/>
              </w:numPr>
            </w:pPr>
            <w:r>
              <w:t>Main discussion was the new VI-SPDAT. Committee was not interested in using this tool. Gathered the feedback for the state and Abby shared it.</w:t>
            </w:r>
            <w:r w:rsidR="00C54180">
              <w:t xml:space="preserve"> </w:t>
            </w:r>
            <w:proofErr w:type="gramStart"/>
            <w:r w:rsidR="00C54180">
              <w:t>State wide</w:t>
            </w:r>
            <w:proofErr w:type="gramEnd"/>
            <w:r w:rsidR="00C54180">
              <w:t xml:space="preserve"> group decided not to use version 3 of VI-SPDAT</w:t>
            </w:r>
          </w:p>
          <w:p w14:paraId="6261B45A" w14:textId="77777777" w:rsidR="008028DC" w:rsidRDefault="008028DC" w:rsidP="00F4275F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Meeting with providers to annual check in regarding coordinated entry and housing stabilization. </w:t>
            </w:r>
          </w:p>
          <w:p w14:paraId="0345878B" w14:textId="058AF9AE" w:rsidR="008028DC" w:rsidRPr="00776347" w:rsidRDefault="008028DC" w:rsidP="00F4275F">
            <w:pPr>
              <w:pStyle w:val="ListParagraph"/>
              <w:numPr>
                <w:ilvl w:val="0"/>
                <w:numId w:val="18"/>
              </w:numPr>
            </w:pPr>
            <w:r>
              <w:t xml:space="preserve">This month will </w:t>
            </w:r>
            <w:r w:rsidR="00C54180">
              <w:t xml:space="preserve">be </w:t>
            </w:r>
            <w:r>
              <w:t xml:space="preserve">diving into the monitoring report for CE. Will be looking at racial disparities and looking at </w:t>
            </w:r>
            <w:r w:rsidR="00C54180">
              <w:t xml:space="preserve">how people get into pool and how they are prioritized.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A2C9" w14:textId="77777777" w:rsidR="00776347" w:rsidRPr="00776347" w:rsidRDefault="00776347" w:rsidP="00776347"/>
        </w:tc>
      </w:tr>
      <w:tr w:rsidR="00776347" w:rsidRPr="00776347" w14:paraId="3F4A596F" w14:textId="77777777" w:rsidTr="00F4275F">
        <w:trPr>
          <w:gridAfter w:val="1"/>
          <w:wAfter w:w="8" w:type="dxa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D046" w14:textId="77777777" w:rsidR="00C54180" w:rsidRDefault="00776347" w:rsidP="00776347">
            <w:r>
              <w:t>SPARC</w:t>
            </w:r>
            <w:r w:rsidR="00C54180">
              <w:t>:</w:t>
            </w:r>
          </w:p>
          <w:p w14:paraId="258DFA47" w14:textId="1DECAB1A" w:rsidR="00776347" w:rsidRPr="00776347" w:rsidRDefault="00776347" w:rsidP="00776347">
            <w:r>
              <w:t xml:space="preserve"> No update for August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3508" w14:textId="77777777" w:rsidR="00776347" w:rsidRPr="00776347" w:rsidRDefault="00776347" w:rsidP="00776347"/>
        </w:tc>
      </w:tr>
      <w:tr w:rsidR="00776347" w:rsidRPr="00776347" w14:paraId="7B60F83B" w14:textId="77777777" w:rsidTr="00F4275F">
        <w:trPr>
          <w:gridAfter w:val="1"/>
          <w:wAfter w:w="8" w:type="dxa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051C" w14:textId="77777777" w:rsidR="00776347" w:rsidRDefault="00776347" w:rsidP="00776347">
            <w:r>
              <w:t>CHAP</w:t>
            </w:r>
            <w:r w:rsidR="00C54180">
              <w:t>:</w:t>
            </w:r>
          </w:p>
          <w:p w14:paraId="4604020F" w14:textId="77777777" w:rsidR="00C54180" w:rsidRDefault="00C54180" w:rsidP="00F4275F">
            <w:pPr>
              <w:pStyle w:val="ListParagraph"/>
              <w:numPr>
                <w:ilvl w:val="0"/>
                <w:numId w:val="17"/>
              </w:numPr>
            </w:pPr>
            <w:r>
              <w:t>Program is set to kick off on Monday August 24</w:t>
            </w:r>
            <w:r w:rsidRPr="00F4275F">
              <w:rPr>
                <w:vertAlign w:val="superscript"/>
              </w:rPr>
              <w:t>th</w:t>
            </w:r>
            <w:r>
              <w:t>. Marketing materials can get out then.</w:t>
            </w:r>
          </w:p>
          <w:p w14:paraId="132CF52F" w14:textId="77777777" w:rsidR="00C54180" w:rsidRDefault="00C54180" w:rsidP="00F4275F">
            <w:pPr>
              <w:pStyle w:val="ListParagraph"/>
              <w:numPr>
                <w:ilvl w:val="0"/>
                <w:numId w:val="17"/>
              </w:numPr>
            </w:pPr>
            <w:r>
              <w:t>People cannot apply until contracts are finalized</w:t>
            </w:r>
          </w:p>
          <w:p w14:paraId="3DA7AC1F" w14:textId="77777777" w:rsidR="00C54180" w:rsidRDefault="00C54180" w:rsidP="00F4275F">
            <w:pPr>
              <w:pStyle w:val="ListParagraph"/>
              <w:numPr>
                <w:ilvl w:val="0"/>
                <w:numId w:val="17"/>
              </w:numPr>
            </w:pPr>
            <w:r>
              <w:t>Work between Salvation Army and Housing Link to get process in place</w:t>
            </w:r>
          </w:p>
          <w:p w14:paraId="2A4BD7F7" w14:textId="0657C474" w:rsidR="00C54180" w:rsidRPr="00776347" w:rsidRDefault="00C54180" w:rsidP="00F4275F">
            <w:pPr>
              <w:pStyle w:val="ListParagraph"/>
              <w:numPr>
                <w:ilvl w:val="0"/>
                <w:numId w:val="17"/>
              </w:numPr>
            </w:pPr>
            <w:r>
              <w:t>Section 8 residents can assist with utility but not rent assistance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DE32" w14:textId="77777777" w:rsidR="00776347" w:rsidRPr="00776347" w:rsidRDefault="00776347" w:rsidP="00776347"/>
        </w:tc>
      </w:tr>
    </w:tbl>
    <w:p w14:paraId="4208BFC9" w14:textId="77777777" w:rsidR="00776347" w:rsidRDefault="00776347" w:rsidP="00776347"/>
    <w:p w14:paraId="79CA5D79" w14:textId="77777777" w:rsidR="002B7E23" w:rsidRDefault="002B7E23" w:rsidP="002B7E23">
      <w:pPr>
        <w:pStyle w:val="ListParagraph"/>
      </w:pPr>
    </w:p>
    <w:p w14:paraId="1CB1FDC4" w14:textId="77777777" w:rsidR="00776347" w:rsidRDefault="00C772E3" w:rsidP="00F32154">
      <w:pPr>
        <w:pStyle w:val="ListParagraph"/>
        <w:numPr>
          <w:ilvl w:val="0"/>
          <w:numId w:val="1"/>
        </w:numPr>
      </w:pPr>
      <w:r>
        <w:t>Governing Board Restructure</w:t>
      </w:r>
      <w:r>
        <w:tab/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2"/>
        <w:gridCol w:w="1598"/>
      </w:tblGrid>
      <w:tr w:rsidR="00776347" w:rsidRPr="00776347" w14:paraId="35375460" w14:textId="77777777" w:rsidTr="00F4275F"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C61FCFA" w14:textId="77777777" w:rsidR="00776347" w:rsidRPr="00776347" w:rsidRDefault="00776347" w:rsidP="00776347">
            <w:r w:rsidRPr="00776347">
              <w:t>Discussions 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632C835" w14:textId="77777777" w:rsidR="00776347" w:rsidRPr="00776347" w:rsidRDefault="00776347" w:rsidP="00776347">
            <w:r w:rsidRPr="00776347">
              <w:t>Actions  </w:t>
            </w:r>
          </w:p>
        </w:tc>
      </w:tr>
      <w:tr w:rsidR="00776347" w:rsidRPr="00776347" w14:paraId="66BCC7EF" w14:textId="77777777" w:rsidTr="00F4275F"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4731" w14:textId="77777777" w:rsidR="00173CAA" w:rsidRDefault="00173CAA" w:rsidP="00C54180">
            <w:r>
              <w:t>Overview:</w:t>
            </w:r>
          </w:p>
          <w:p w14:paraId="1CB34FE0" w14:textId="29640A8B" w:rsidR="00C54180" w:rsidRDefault="00C54180" w:rsidP="00C54180">
            <w:r>
              <w:t xml:space="preserve">SPARC is recommending that </w:t>
            </w:r>
            <w:r w:rsidRPr="00C54180">
              <w:t>Diversify voting members on the SMAC governing board and every committee with in the CoC.</w:t>
            </w:r>
            <w:r>
              <w:t xml:space="preserve"> </w:t>
            </w:r>
            <w:r w:rsidRPr="00C54180">
              <w:t>Assess policies and procedures, including any implicit biases and barriers preventing access to governing board by POC/N persons, as well as those with lived experience.</w:t>
            </w:r>
          </w:p>
          <w:p w14:paraId="12403957" w14:textId="01D425BD" w:rsidR="00C54180" w:rsidRDefault="00C54180" w:rsidP="00C54180">
            <w:r>
              <w:t>Current structure has voting members with 3 from the 4 local groups and 3 at large members</w:t>
            </w:r>
          </w:p>
          <w:p w14:paraId="42B873FD" w14:textId="74D7BC47" w:rsidR="00C54180" w:rsidRDefault="00C54180" w:rsidP="00C54180">
            <w:r>
              <w:t xml:space="preserve">Proposed structure: 15 voting members </w:t>
            </w:r>
          </w:p>
          <w:p w14:paraId="06038359" w14:textId="77777777" w:rsidR="00C54180" w:rsidRPr="00C54180" w:rsidRDefault="00C54180" w:rsidP="00F4275F">
            <w:pPr>
              <w:pStyle w:val="ListParagraph"/>
              <w:numPr>
                <w:ilvl w:val="0"/>
                <w:numId w:val="20"/>
              </w:numPr>
            </w:pPr>
            <w:r w:rsidRPr="00C54180">
              <w:t>20% of the membership should represent each local homeless planning group</w:t>
            </w:r>
          </w:p>
          <w:p w14:paraId="5FFCA506" w14:textId="77777777" w:rsidR="00C54180" w:rsidRPr="00C54180" w:rsidRDefault="00C54180" w:rsidP="00F4275F">
            <w:pPr>
              <w:pStyle w:val="ListParagraph"/>
              <w:numPr>
                <w:ilvl w:val="0"/>
                <w:numId w:val="20"/>
              </w:numPr>
            </w:pPr>
            <w:r w:rsidRPr="00C54180">
              <w:t xml:space="preserve">30% of the membership should be BIPOC </w:t>
            </w:r>
          </w:p>
          <w:p w14:paraId="7A53B74F" w14:textId="77777777" w:rsidR="00C54180" w:rsidRPr="00C54180" w:rsidRDefault="00C54180" w:rsidP="00F4275F">
            <w:pPr>
              <w:pStyle w:val="ListParagraph"/>
              <w:numPr>
                <w:ilvl w:val="0"/>
                <w:numId w:val="20"/>
              </w:numPr>
            </w:pPr>
            <w:r w:rsidRPr="00C54180">
              <w:t>2-3 seats will be for Director’s Council members</w:t>
            </w:r>
          </w:p>
          <w:p w14:paraId="0A65F27C" w14:textId="77777777" w:rsidR="00CF6EBC" w:rsidRPr="00CF6EBC" w:rsidRDefault="00CF6EBC" w:rsidP="00CF6EBC">
            <w:r w:rsidRPr="00CF6EBC">
              <w:t>All voting members be selected in the same way:</w:t>
            </w:r>
          </w:p>
          <w:p w14:paraId="0414232B" w14:textId="77777777" w:rsidR="00CF6EBC" w:rsidRPr="00CF6EBC" w:rsidRDefault="00CF6EBC" w:rsidP="00F4275F">
            <w:pPr>
              <w:pStyle w:val="ListParagraph"/>
              <w:numPr>
                <w:ilvl w:val="0"/>
                <w:numId w:val="21"/>
              </w:numPr>
            </w:pPr>
            <w:r w:rsidRPr="00CF6EBC">
              <w:t>Must submit application/interest form</w:t>
            </w:r>
          </w:p>
          <w:p w14:paraId="1395CADE" w14:textId="04681157" w:rsidR="00CF6EBC" w:rsidRDefault="00CF6EBC" w:rsidP="00F4275F">
            <w:pPr>
              <w:pStyle w:val="ListParagraph"/>
              <w:numPr>
                <w:ilvl w:val="0"/>
                <w:numId w:val="21"/>
              </w:numPr>
            </w:pPr>
            <w:r w:rsidRPr="00CF6EBC">
              <w:t xml:space="preserve">Directors Council makes all board appointments </w:t>
            </w:r>
          </w:p>
          <w:p w14:paraId="276DF2A0" w14:textId="5F460D1E" w:rsidR="00CF6EBC" w:rsidRPr="00CF6EBC" w:rsidRDefault="00CF6EBC" w:rsidP="00CF6EBC">
            <w:r>
              <w:t>Need team to be on planning and design team. Volunteers include Brad, Rochelle, Dana and Natalie and a member of the Directors Council</w:t>
            </w:r>
          </w:p>
          <w:p w14:paraId="135EEC8D" w14:textId="69C79229" w:rsidR="00C54180" w:rsidRDefault="00CF6EBC" w:rsidP="00C54180">
            <w:r>
              <w:lastRenderedPageBreak/>
              <w:t>Timeline would have this new structure implemented in Dec/Jan</w:t>
            </w:r>
          </w:p>
          <w:p w14:paraId="33168418" w14:textId="2BBD9E78" w:rsidR="00C54180" w:rsidRPr="00C54180" w:rsidRDefault="00CF6EBC" w:rsidP="00C54180">
            <w:r>
              <w:t>Stagger new members so we do not have complete turnover</w:t>
            </w:r>
          </w:p>
          <w:p w14:paraId="26ACA66B" w14:textId="260C0291" w:rsidR="00776347" w:rsidRPr="00776347" w:rsidRDefault="00776347" w:rsidP="0077634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BAD7" w14:textId="77777777" w:rsidR="00776347" w:rsidRDefault="00776347" w:rsidP="00776347">
            <w:r w:rsidRPr="00776347">
              <w:lastRenderedPageBreak/>
              <w:t> </w:t>
            </w:r>
            <w:r w:rsidR="00F40BE8">
              <w:t>Motion: Heather</w:t>
            </w:r>
          </w:p>
          <w:p w14:paraId="7845C8DC" w14:textId="5D43A955" w:rsidR="00F40BE8" w:rsidRDefault="00F40BE8" w:rsidP="00776347">
            <w:r>
              <w:t>2</w:t>
            </w:r>
            <w:r w:rsidRPr="00F40BE8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: </w:t>
            </w:r>
            <w:r>
              <w:t>Rochelle</w:t>
            </w:r>
          </w:p>
          <w:p w14:paraId="48790B8C" w14:textId="5B1A5390" w:rsidR="00F40BE8" w:rsidRPr="00776347" w:rsidRDefault="00F40BE8" w:rsidP="00776347">
            <w:r>
              <w:t>Motion carries</w:t>
            </w:r>
          </w:p>
        </w:tc>
      </w:tr>
      <w:tr w:rsidR="00173CAA" w:rsidRPr="00776347" w14:paraId="64CD1C25" w14:textId="77777777" w:rsidTr="00F4275F"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A7BC" w14:textId="77777777" w:rsidR="00173CAA" w:rsidRDefault="00173CAA" w:rsidP="00C54180">
            <w:r>
              <w:t>Break out group:</w:t>
            </w:r>
          </w:p>
          <w:p w14:paraId="30E82BCF" w14:textId="77777777" w:rsidR="002E66D7" w:rsidRDefault="002E66D7" w:rsidP="00C54180">
            <w:r>
              <w:t>Overall thoughts:</w:t>
            </w:r>
          </w:p>
          <w:p w14:paraId="086AEF87" w14:textId="587D69CB" w:rsidR="00173CAA" w:rsidRDefault="002E66D7" w:rsidP="002E66D7">
            <w:pPr>
              <w:pStyle w:val="ListParagraph"/>
              <w:numPr>
                <w:ilvl w:val="0"/>
                <w:numId w:val="12"/>
              </w:numPr>
            </w:pPr>
            <w:r>
              <w:t xml:space="preserve">Generally positive, happy to be trying something since our members </w:t>
            </w:r>
            <w:r w:rsidR="00F40BE8">
              <w:t>do not</w:t>
            </w:r>
            <w:r>
              <w:t xml:space="preserve"> match the diversity of our participants</w:t>
            </w:r>
          </w:p>
          <w:p w14:paraId="6D6C7B18" w14:textId="77777777" w:rsidR="002E66D7" w:rsidRDefault="002E66D7" w:rsidP="002E66D7">
            <w:r>
              <w:t>Composition:</w:t>
            </w:r>
          </w:p>
          <w:p w14:paraId="2C0A8A41" w14:textId="77777777" w:rsidR="002E66D7" w:rsidRDefault="002E66D7" w:rsidP="002E66D7">
            <w:pPr>
              <w:pStyle w:val="ListParagraph"/>
              <w:numPr>
                <w:ilvl w:val="0"/>
                <w:numId w:val="12"/>
              </w:numPr>
            </w:pPr>
            <w:r>
              <w:t>Overdue to hit composition of BIPOC</w:t>
            </w:r>
          </w:p>
          <w:p w14:paraId="3C9C7C34" w14:textId="22D9FDC5" w:rsidR="002E66D7" w:rsidRDefault="002E66D7" w:rsidP="002E66D7">
            <w:pPr>
              <w:pStyle w:val="ListParagraph"/>
              <w:numPr>
                <w:ilvl w:val="0"/>
                <w:numId w:val="12"/>
              </w:numPr>
            </w:pPr>
            <w:r>
              <w:t>Nothing about % of people with lived experience</w:t>
            </w:r>
          </w:p>
          <w:p w14:paraId="1FE9421D" w14:textId="724CBA2C" w:rsidR="002E66D7" w:rsidRDefault="002E66D7" w:rsidP="002E66D7">
            <w:pPr>
              <w:pStyle w:val="ListParagraph"/>
              <w:numPr>
                <w:ilvl w:val="0"/>
                <w:numId w:val="12"/>
              </w:numPr>
            </w:pPr>
            <w:r>
              <w:t>Clarification of 20%. How does this represent Scott/</w:t>
            </w:r>
            <w:proofErr w:type="gramStart"/>
            <w:r>
              <w:t>Carver</w:t>
            </w:r>
            <w:proofErr w:type="gramEnd"/>
            <w:r>
              <w:t xml:space="preserve"> </w:t>
            </w:r>
          </w:p>
          <w:p w14:paraId="048F112A" w14:textId="53F2FCD1" w:rsidR="002E66D7" w:rsidRDefault="002E66D7" w:rsidP="002E66D7">
            <w:pPr>
              <w:pStyle w:val="ListParagraph"/>
              <w:numPr>
                <w:ilvl w:val="0"/>
                <w:numId w:val="12"/>
              </w:numPr>
            </w:pPr>
            <w:r>
              <w:t xml:space="preserve">Need to represent LGBTQ community as well. </w:t>
            </w:r>
          </w:p>
          <w:p w14:paraId="2BD9CDCC" w14:textId="023E6ED0" w:rsidR="002E66D7" w:rsidRDefault="002E66D7" w:rsidP="002E66D7">
            <w:pPr>
              <w:pStyle w:val="ListParagraph"/>
              <w:numPr>
                <w:ilvl w:val="0"/>
                <w:numId w:val="12"/>
              </w:numPr>
            </w:pPr>
            <w:r>
              <w:t>How are policy and landlords represented?</w:t>
            </w:r>
          </w:p>
          <w:p w14:paraId="302DD411" w14:textId="46F18BD8" w:rsidR="002E66D7" w:rsidRDefault="002E66D7" w:rsidP="002E66D7">
            <w:pPr>
              <w:pStyle w:val="ListParagraph"/>
              <w:numPr>
                <w:ilvl w:val="0"/>
                <w:numId w:val="12"/>
              </w:numPr>
            </w:pPr>
            <w:r>
              <w:t xml:space="preserve">How are we compensating people for their </w:t>
            </w:r>
            <w:proofErr w:type="gramStart"/>
            <w:r>
              <w:t>time</w:t>
            </w:r>
            <w:proofErr w:type="gramEnd"/>
          </w:p>
          <w:p w14:paraId="457D52CE" w14:textId="3C774728" w:rsidR="002E66D7" w:rsidRDefault="002E66D7" w:rsidP="002E66D7">
            <w:pPr>
              <w:pStyle w:val="ListParagraph"/>
              <w:numPr>
                <w:ilvl w:val="0"/>
                <w:numId w:val="12"/>
              </w:numPr>
            </w:pPr>
            <w:r>
              <w:t xml:space="preserve">Do we need to consider </w:t>
            </w:r>
            <w:proofErr w:type="gramStart"/>
            <w:r>
              <w:t>non HUD</w:t>
            </w:r>
            <w:proofErr w:type="gramEnd"/>
            <w:r>
              <w:t xml:space="preserve"> funded programs for our ranking committee? Also have a similar process for ranking committee</w:t>
            </w:r>
          </w:p>
          <w:p w14:paraId="6BACD385" w14:textId="77777777" w:rsidR="002E66D7" w:rsidRDefault="002E66D7" w:rsidP="002E66D7">
            <w:r>
              <w:t>Governance and operations:</w:t>
            </w:r>
          </w:p>
          <w:p w14:paraId="57BC4C23" w14:textId="366EBC02" w:rsidR="002E66D7" w:rsidRDefault="002E66D7" w:rsidP="002E66D7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Generally</w:t>
            </w:r>
            <w:proofErr w:type="gramEnd"/>
            <w:r>
              <w:t xml:space="preserve"> agree</w:t>
            </w:r>
          </w:p>
          <w:p w14:paraId="512F7197" w14:textId="300FD537" w:rsidR="002E66D7" w:rsidRDefault="002E66D7" w:rsidP="002E66D7">
            <w:pPr>
              <w:pStyle w:val="ListParagraph"/>
              <w:numPr>
                <w:ilvl w:val="0"/>
                <w:numId w:val="13"/>
              </w:numPr>
            </w:pPr>
            <w:r>
              <w:t>How do we connect with cities?</w:t>
            </w:r>
          </w:p>
          <w:p w14:paraId="46E2EF38" w14:textId="0537AF76" w:rsidR="002E66D7" w:rsidRDefault="002E66D7" w:rsidP="00F4275F">
            <w:pPr>
              <w:pStyle w:val="ListParagraph"/>
              <w:numPr>
                <w:ilvl w:val="0"/>
                <w:numId w:val="13"/>
              </w:numPr>
            </w:pPr>
            <w:r>
              <w:t>Communication is clear, how will they interact, hierarchy, make good use of everyone’s time</w:t>
            </w:r>
          </w:p>
          <w:p w14:paraId="7D46A28D" w14:textId="77777777" w:rsidR="002E66D7" w:rsidRDefault="002E66D7" w:rsidP="002E66D7">
            <w:r>
              <w:t>Recruitment:</w:t>
            </w:r>
          </w:p>
          <w:p w14:paraId="5022D2B8" w14:textId="77777777" w:rsidR="002E66D7" w:rsidRDefault="002E66D7" w:rsidP="002E66D7">
            <w:pPr>
              <w:pStyle w:val="ListParagraph"/>
              <w:numPr>
                <w:ilvl w:val="0"/>
                <w:numId w:val="13"/>
              </w:numPr>
            </w:pPr>
            <w:r>
              <w:t>Reaching out to find agencies with underserved populations to get them more involved</w:t>
            </w:r>
          </w:p>
          <w:p w14:paraId="73BA6FD3" w14:textId="77777777" w:rsidR="002E66D7" w:rsidRDefault="002E66D7" w:rsidP="002E66D7">
            <w:pPr>
              <w:pStyle w:val="ListParagraph"/>
              <w:numPr>
                <w:ilvl w:val="0"/>
                <w:numId w:val="13"/>
              </w:numPr>
            </w:pPr>
            <w:r>
              <w:t>Where will we recruit from?</w:t>
            </w:r>
          </w:p>
          <w:p w14:paraId="3F822091" w14:textId="03850511" w:rsidR="002E66D7" w:rsidRDefault="002E66D7" w:rsidP="002E66D7">
            <w:pPr>
              <w:pStyle w:val="ListParagraph"/>
              <w:numPr>
                <w:ilvl w:val="0"/>
                <w:numId w:val="13"/>
              </w:numPr>
            </w:pPr>
            <w:r>
              <w:t>Mission/vision focus may be a recruiting tool for BIPOC and people with lived experience</w:t>
            </w:r>
            <w:r w:rsidR="00F40BE8">
              <w:t>. A focus on ending homelessness and providing person centered programming is more attractive than operations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822D4" w14:textId="77777777" w:rsidR="00173CAA" w:rsidRPr="00776347" w:rsidRDefault="00173CAA" w:rsidP="00776347"/>
        </w:tc>
      </w:tr>
    </w:tbl>
    <w:p w14:paraId="5007E68D" w14:textId="79CBE67D" w:rsidR="007E3B0A" w:rsidRDefault="00C772E3" w:rsidP="00776347">
      <w:r>
        <w:tab/>
      </w:r>
      <w:r>
        <w:tab/>
      </w:r>
      <w:r>
        <w:tab/>
      </w:r>
      <w:r w:rsidR="002B7E23">
        <w:tab/>
      </w:r>
    </w:p>
    <w:p w14:paraId="34663DED" w14:textId="77777777" w:rsidR="00776347" w:rsidRDefault="007E3B0A" w:rsidP="00EA4116">
      <w:pPr>
        <w:pStyle w:val="ListParagraph"/>
        <w:numPr>
          <w:ilvl w:val="0"/>
          <w:numId w:val="1"/>
        </w:numPr>
      </w:pPr>
      <w:r>
        <w:t>Declaring Functional Zero for Veterans and update on Chronic</w:t>
      </w:r>
      <w:r w:rsidR="0074307E">
        <w:t xml:space="preserve"> numbers</w:t>
      </w:r>
      <w:r>
        <w:tab/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2"/>
        <w:gridCol w:w="1508"/>
      </w:tblGrid>
      <w:tr w:rsidR="00776347" w:rsidRPr="00776347" w14:paraId="5AC937BE" w14:textId="77777777" w:rsidTr="00F4275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7896C61" w14:textId="77777777" w:rsidR="00776347" w:rsidRPr="00776347" w:rsidRDefault="00776347" w:rsidP="00776347">
            <w:r w:rsidRPr="00776347">
              <w:t>Discussions </w:t>
            </w:r>
          </w:p>
        </w:tc>
        <w:tc>
          <w:tcPr>
            <w:tcW w:w="1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FAF6A" w14:textId="77777777" w:rsidR="00776347" w:rsidRPr="00776347" w:rsidRDefault="00776347" w:rsidP="00776347">
            <w:r w:rsidRPr="00776347">
              <w:t>Actions  </w:t>
            </w:r>
          </w:p>
        </w:tc>
      </w:tr>
      <w:tr w:rsidR="00776347" w:rsidRPr="00776347" w14:paraId="658DA09D" w14:textId="77777777" w:rsidTr="00F4275F">
        <w:trPr>
          <w:trHeight w:val="5592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EFE3" w14:textId="77777777" w:rsidR="00776347" w:rsidRDefault="00776347" w:rsidP="00776347">
            <w:r w:rsidRPr="00776347">
              <w:lastRenderedPageBreak/>
              <w:t> </w:t>
            </w:r>
            <w:r w:rsidR="00F40BE8">
              <w:t>We are at functional zero for Veterans in SMAC</w:t>
            </w:r>
          </w:p>
          <w:p w14:paraId="659BCA16" w14:textId="77777777" w:rsidR="00F40BE8" w:rsidRDefault="00F40BE8" w:rsidP="00776347">
            <w:r>
              <w:t>4 benchmarks</w:t>
            </w:r>
          </w:p>
          <w:p w14:paraId="75A0078C" w14:textId="663C2319" w:rsidR="00F40BE8" w:rsidRPr="00F40BE8" w:rsidRDefault="00F40BE8" w:rsidP="00F40BE8">
            <w:pPr>
              <w:pStyle w:val="ListParagraph"/>
              <w:numPr>
                <w:ilvl w:val="0"/>
                <w:numId w:val="15"/>
              </w:numPr>
            </w:pPr>
            <w:r w:rsidRPr="00F40BE8">
              <w:t>ended long-term and chronic homelessness among Veterans in your community</w:t>
            </w:r>
          </w:p>
          <w:p w14:paraId="5457152A" w14:textId="2BD3C101" w:rsidR="00F40BE8" w:rsidRPr="00F40BE8" w:rsidRDefault="00F40BE8" w:rsidP="00F40BE8">
            <w:pPr>
              <w:pStyle w:val="ListParagraph"/>
              <w:numPr>
                <w:ilvl w:val="0"/>
                <w:numId w:val="15"/>
              </w:numPr>
            </w:pPr>
            <w:r w:rsidRPr="00F3482A">
              <w:t>Veterans have quick access to permanent housing</w:t>
            </w:r>
          </w:p>
          <w:p w14:paraId="35AE63FC" w14:textId="77777777" w:rsidR="00F40BE8" w:rsidRPr="00F3482A" w:rsidRDefault="00F3482A" w:rsidP="00F40BE8">
            <w:pPr>
              <w:pStyle w:val="ListParagraph"/>
              <w:numPr>
                <w:ilvl w:val="0"/>
                <w:numId w:val="15"/>
              </w:numPr>
            </w:pPr>
            <w:r w:rsidRPr="00F3482A">
              <w:t>community have sufficient permanent housing capacity</w:t>
            </w:r>
          </w:p>
          <w:p w14:paraId="37730884" w14:textId="77777777" w:rsidR="00F3482A" w:rsidRDefault="00F3482A" w:rsidP="00F40BE8">
            <w:pPr>
              <w:pStyle w:val="ListParagraph"/>
              <w:numPr>
                <w:ilvl w:val="0"/>
                <w:numId w:val="15"/>
              </w:numPr>
            </w:pPr>
            <w:r w:rsidRPr="00F3482A">
              <w:t>community committed to Housing First and provides service-intensive transitional housing to Veterans experiencing homelessness only in limited instances</w:t>
            </w:r>
          </w:p>
          <w:p w14:paraId="36BD36B2" w14:textId="11E8CFC4" w:rsidR="00F3482A" w:rsidRDefault="00F3482A" w:rsidP="00F3482A">
            <w:r>
              <w:t xml:space="preserve">Will share once we have confirmation. Can say that we have submitted the document to USICH. </w:t>
            </w:r>
          </w:p>
          <w:p w14:paraId="1CFA9061" w14:textId="77777777" w:rsidR="00F3482A" w:rsidRDefault="00F3482A" w:rsidP="00F3482A">
            <w:r>
              <w:t>MACV would be doing outreach to Veterans in shelter/hotels</w:t>
            </w:r>
          </w:p>
          <w:p w14:paraId="035461F2" w14:textId="77777777" w:rsidR="00F3482A" w:rsidRDefault="00F3482A" w:rsidP="00F3482A">
            <w:r>
              <w:t xml:space="preserve">Original submission of evidence is seen as a starter. Anticipate a </w:t>
            </w:r>
            <w:proofErr w:type="gramStart"/>
            <w:r>
              <w:t>90 day</w:t>
            </w:r>
            <w:proofErr w:type="gramEnd"/>
            <w:r>
              <w:t xml:space="preserve"> lookback or conversation with USICH. </w:t>
            </w:r>
          </w:p>
          <w:p w14:paraId="746C63BD" w14:textId="2798C496" w:rsidR="00F3482A" w:rsidRPr="00776347" w:rsidRDefault="00F3482A" w:rsidP="00F3482A">
            <w:r>
              <w:t xml:space="preserve">Plan a declaration event.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D3B4331" w14:textId="77777777" w:rsidR="00776347" w:rsidRPr="00776347" w:rsidRDefault="00776347" w:rsidP="00776347">
            <w:r w:rsidRPr="00776347">
              <w:t> </w:t>
            </w:r>
          </w:p>
        </w:tc>
      </w:tr>
      <w:tr w:rsidR="007442C5" w:rsidRPr="00776347" w14:paraId="2031D1E5" w14:textId="77777777" w:rsidTr="00F4275F"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ADDD" w14:textId="77777777" w:rsidR="007442C5" w:rsidRDefault="007442C5" w:rsidP="00776347">
            <w:r>
              <w:t>Chronic homelessness:</w:t>
            </w:r>
          </w:p>
          <w:p w14:paraId="5D6F647E" w14:textId="77777777" w:rsidR="007442C5" w:rsidRDefault="007442C5" w:rsidP="007442C5">
            <w:pPr>
              <w:pStyle w:val="ListParagraph"/>
              <w:numPr>
                <w:ilvl w:val="0"/>
                <w:numId w:val="16"/>
              </w:numPr>
            </w:pPr>
            <w:r>
              <w:t>Close to ending chronic homelessness in SMAC. Hope would be that we can use the momentum around Veteran homelessness to end chronic homelessness.</w:t>
            </w:r>
          </w:p>
          <w:p w14:paraId="0D212BA6" w14:textId="77777777" w:rsidR="007442C5" w:rsidRDefault="007442C5" w:rsidP="007442C5">
            <w:pPr>
              <w:pStyle w:val="ListParagraph"/>
              <w:numPr>
                <w:ilvl w:val="0"/>
                <w:numId w:val="16"/>
              </w:numPr>
            </w:pPr>
            <w:r>
              <w:t>As we prioritize chronic homelessness we may be furthering racial disparities as BIPOC individuals do not often meet the definition of chronic homelessness.</w:t>
            </w:r>
          </w:p>
          <w:p w14:paraId="395DD6B3" w14:textId="6BEF3FFB" w:rsidR="007442C5" w:rsidRDefault="007442C5" w:rsidP="007442C5">
            <w:pPr>
              <w:pStyle w:val="ListParagraph"/>
              <w:numPr>
                <w:ilvl w:val="0"/>
                <w:numId w:val="16"/>
              </w:numPr>
            </w:pPr>
            <w:r>
              <w:t xml:space="preserve">45 total households in priority pool (39 single adults and 6 families). When we started this push a few years ago we were at 300. </w:t>
            </w:r>
          </w:p>
          <w:p w14:paraId="664760B9" w14:textId="57FD001E" w:rsidR="007442C5" w:rsidRPr="00776347" w:rsidRDefault="007442C5" w:rsidP="00F4275F">
            <w:pPr>
              <w:pStyle w:val="ListParagraph"/>
              <w:numPr>
                <w:ilvl w:val="0"/>
                <w:numId w:val="16"/>
              </w:numPr>
            </w:pPr>
            <w:r>
              <w:t xml:space="preserve">10 households are youth or have minor children (4 single youth and 6 families. Focus on these 10 households. Is this all the households that we have?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67E22" w14:textId="77777777" w:rsidR="007442C5" w:rsidRPr="00776347" w:rsidRDefault="007442C5" w:rsidP="00776347"/>
        </w:tc>
      </w:tr>
    </w:tbl>
    <w:p w14:paraId="27981F90" w14:textId="53ACC979" w:rsidR="00F4275F" w:rsidRDefault="007E3B0A" w:rsidP="00776347">
      <w:r>
        <w:tab/>
      </w:r>
    </w:p>
    <w:p w14:paraId="538AFFCB" w14:textId="77777777" w:rsidR="00776347" w:rsidRDefault="00C772E3" w:rsidP="00386FDF">
      <w:pPr>
        <w:pStyle w:val="ListParagraph"/>
        <w:numPr>
          <w:ilvl w:val="0"/>
          <w:numId w:val="1"/>
        </w:numPr>
      </w:pPr>
      <w:r>
        <w:t>NOFA Pri</w:t>
      </w:r>
      <w:r w:rsidR="00904C66">
        <w:t>orities and local RFP</w:t>
      </w:r>
      <w:r>
        <w:tab/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2"/>
        <w:gridCol w:w="1508"/>
      </w:tblGrid>
      <w:tr w:rsidR="00776347" w:rsidRPr="00776347" w14:paraId="1F8AE787" w14:textId="77777777" w:rsidTr="00F4275F"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25635D5" w14:textId="77777777" w:rsidR="00776347" w:rsidRPr="00776347" w:rsidRDefault="00776347" w:rsidP="00776347">
            <w:r w:rsidRPr="00776347">
              <w:t>Discussions </w:t>
            </w:r>
          </w:p>
        </w:tc>
        <w:tc>
          <w:tcPr>
            <w:tcW w:w="15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05BDF1B" w14:textId="77777777" w:rsidR="00776347" w:rsidRPr="00776347" w:rsidRDefault="00776347" w:rsidP="00776347">
            <w:r w:rsidRPr="00776347">
              <w:t>Actions  </w:t>
            </w:r>
          </w:p>
        </w:tc>
      </w:tr>
      <w:tr w:rsidR="00776347" w:rsidRPr="00776347" w14:paraId="0F6FC03D" w14:textId="77777777" w:rsidTr="00F4275F"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BD60" w14:textId="2ADFBA42" w:rsidR="00776347" w:rsidRDefault="00F4275F" w:rsidP="00F4275F">
            <w:pPr>
              <w:pStyle w:val="ListParagraph"/>
              <w:numPr>
                <w:ilvl w:val="0"/>
                <w:numId w:val="19"/>
              </w:numPr>
            </w:pPr>
            <w:r>
              <w:t>GIW was due on 8/19.</w:t>
            </w:r>
          </w:p>
          <w:p w14:paraId="7D3217B0" w14:textId="5ECD4E12" w:rsidR="00F4275F" w:rsidRDefault="00F4275F" w:rsidP="00F4275F">
            <w:pPr>
              <w:pStyle w:val="ListParagraph"/>
              <w:numPr>
                <w:ilvl w:val="0"/>
                <w:numId w:val="19"/>
              </w:numPr>
            </w:pPr>
            <w:r>
              <w:t>GIW process usually comes right before kickoff of NOFA</w:t>
            </w:r>
          </w:p>
          <w:p w14:paraId="1E275B30" w14:textId="77777777" w:rsidR="00F4275F" w:rsidRDefault="00F4275F" w:rsidP="00F4275F">
            <w:pPr>
              <w:pStyle w:val="ListParagraph"/>
              <w:numPr>
                <w:ilvl w:val="0"/>
                <w:numId w:val="19"/>
              </w:numPr>
            </w:pPr>
            <w:r>
              <w:t xml:space="preserve">Some legislation at the federal level stating that all CoC’s would be renewed as is. This has not passed yet. Does not address bonus funds. </w:t>
            </w:r>
          </w:p>
          <w:p w14:paraId="2EE0F2EC" w14:textId="042A75A0" w:rsidR="00A457E7" w:rsidRPr="00776347" w:rsidRDefault="00A457E7" w:rsidP="00F4275F">
            <w:pPr>
              <w:pStyle w:val="ListParagraph"/>
              <w:numPr>
                <w:ilvl w:val="0"/>
                <w:numId w:val="19"/>
              </w:numPr>
            </w:pPr>
            <w:r>
              <w:t>Abby will put together data (including race). Priorities will be done at next meeting. If needed earlier, we may need an email vote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0927" w14:textId="77777777" w:rsidR="00776347" w:rsidRPr="00776347" w:rsidRDefault="00776347" w:rsidP="00776347">
            <w:r w:rsidRPr="00776347">
              <w:t> </w:t>
            </w:r>
          </w:p>
        </w:tc>
      </w:tr>
    </w:tbl>
    <w:p w14:paraId="3C7DED8B" w14:textId="1A200E92" w:rsidR="00176331" w:rsidRDefault="00176331" w:rsidP="00F4275F"/>
    <w:p w14:paraId="656D875C" w14:textId="5FCF1A6D" w:rsidR="00446923" w:rsidRPr="00446923" w:rsidRDefault="00446923" w:rsidP="00CD6EC8"/>
    <w:sectPr w:rsidR="00446923" w:rsidRPr="0044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4C41"/>
    <w:multiLevelType w:val="hybridMultilevel"/>
    <w:tmpl w:val="40EE4B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B12DD"/>
    <w:multiLevelType w:val="hybridMultilevel"/>
    <w:tmpl w:val="DEA61CA8"/>
    <w:lvl w:ilvl="0" w:tplc="B6964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E14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A8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0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E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6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23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A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C3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8C0951"/>
    <w:multiLevelType w:val="hybridMultilevel"/>
    <w:tmpl w:val="34CCE002"/>
    <w:lvl w:ilvl="0" w:tplc="2A567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6FE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4593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43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03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A2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EC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E2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F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8F5809"/>
    <w:multiLevelType w:val="hybridMultilevel"/>
    <w:tmpl w:val="2F98333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5670AA"/>
    <w:multiLevelType w:val="hybridMultilevel"/>
    <w:tmpl w:val="1428B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695FA6"/>
    <w:multiLevelType w:val="hybridMultilevel"/>
    <w:tmpl w:val="809451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6B7FA4"/>
    <w:multiLevelType w:val="hybridMultilevel"/>
    <w:tmpl w:val="E4005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598D"/>
    <w:multiLevelType w:val="hybridMultilevel"/>
    <w:tmpl w:val="7264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0636"/>
    <w:multiLevelType w:val="hybridMultilevel"/>
    <w:tmpl w:val="C7AA4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0837BB"/>
    <w:multiLevelType w:val="hybridMultilevel"/>
    <w:tmpl w:val="809451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C03E06"/>
    <w:multiLevelType w:val="hybridMultilevel"/>
    <w:tmpl w:val="7D22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3DB1"/>
    <w:multiLevelType w:val="hybridMultilevel"/>
    <w:tmpl w:val="E1E6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70E5F"/>
    <w:multiLevelType w:val="hybridMultilevel"/>
    <w:tmpl w:val="EFC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45BD0"/>
    <w:multiLevelType w:val="hybridMultilevel"/>
    <w:tmpl w:val="EB74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42DDE"/>
    <w:multiLevelType w:val="hybridMultilevel"/>
    <w:tmpl w:val="C1B603FA"/>
    <w:lvl w:ilvl="0" w:tplc="F248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C05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61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C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6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A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6E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C3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0E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F349D9"/>
    <w:multiLevelType w:val="hybridMultilevel"/>
    <w:tmpl w:val="9024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A66B2"/>
    <w:multiLevelType w:val="hybridMultilevel"/>
    <w:tmpl w:val="33AC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18D1"/>
    <w:multiLevelType w:val="hybridMultilevel"/>
    <w:tmpl w:val="40EE4B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1D3017A"/>
    <w:multiLevelType w:val="hybridMultilevel"/>
    <w:tmpl w:val="906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19"/>
  </w:num>
  <w:num w:numId="8">
    <w:abstractNumId w:val="3"/>
  </w:num>
  <w:num w:numId="9">
    <w:abstractNumId w:val="1"/>
  </w:num>
  <w:num w:numId="10">
    <w:abstractNumId w:val="2"/>
  </w:num>
  <w:num w:numId="11">
    <w:abstractNumId w:val="16"/>
  </w:num>
  <w:num w:numId="12">
    <w:abstractNumId w:val="15"/>
  </w:num>
  <w:num w:numId="13">
    <w:abstractNumId w:val="18"/>
  </w:num>
  <w:num w:numId="14">
    <w:abstractNumId w:val="8"/>
  </w:num>
  <w:num w:numId="15">
    <w:abstractNumId w:val="11"/>
  </w:num>
  <w:num w:numId="16">
    <w:abstractNumId w:val="20"/>
  </w:num>
  <w:num w:numId="17">
    <w:abstractNumId w:val="12"/>
  </w:num>
  <w:num w:numId="18">
    <w:abstractNumId w:val="14"/>
  </w:num>
  <w:num w:numId="19">
    <w:abstractNumId w:val="17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80"/>
    <w:rsid w:val="000007E9"/>
    <w:rsid w:val="00006CF2"/>
    <w:rsid w:val="00031046"/>
    <w:rsid w:val="000437E2"/>
    <w:rsid w:val="00061E5E"/>
    <w:rsid w:val="00070D4F"/>
    <w:rsid w:val="00086932"/>
    <w:rsid w:val="00096989"/>
    <w:rsid w:val="000B70C4"/>
    <w:rsid w:val="000F7B83"/>
    <w:rsid w:val="00124203"/>
    <w:rsid w:val="00132818"/>
    <w:rsid w:val="00171E0D"/>
    <w:rsid w:val="00173CAA"/>
    <w:rsid w:val="00176331"/>
    <w:rsid w:val="001826E3"/>
    <w:rsid w:val="00191C4B"/>
    <w:rsid w:val="001A4F5C"/>
    <w:rsid w:val="001C06BF"/>
    <w:rsid w:val="001F434A"/>
    <w:rsid w:val="002122CE"/>
    <w:rsid w:val="002125E6"/>
    <w:rsid w:val="00215AD8"/>
    <w:rsid w:val="002404D9"/>
    <w:rsid w:val="00242E40"/>
    <w:rsid w:val="00260526"/>
    <w:rsid w:val="002716C9"/>
    <w:rsid w:val="00297F09"/>
    <w:rsid w:val="002A7447"/>
    <w:rsid w:val="002B4FBA"/>
    <w:rsid w:val="002B5033"/>
    <w:rsid w:val="002B7E23"/>
    <w:rsid w:val="002E2E3A"/>
    <w:rsid w:val="002E6430"/>
    <w:rsid w:val="002E66D7"/>
    <w:rsid w:val="002F63C9"/>
    <w:rsid w:val="00305ABC"/>
    <w:rsid w:val="00324FBB"/>
    <w:rsid w:val="0033457B"/>
    <w:rsid w:val="00353A14"/>
    <w:rsid w:val="00377B4F"/>
    <w:rsid w:val="00381F9D"/>
    <w:rsid w:val="00383F1A"/>
    <w:rsid w:val="00386FDF"/>
    <w:rsid w:val="003A1D4B"/>
    <w:rsid w:val="003A33C4"/>
    <w:rsid w:val="003A6959"/>
    <w:rsid w:val="003C30C0"/>
    <w:rsid w:val="003F05BC"/>
    <w:rsid w:val="00406E3D"/>
    <w:rsid w:val="004107D6"/>
    <w:rsid w:val="0042233B"/>
    <w:rsid w:val="0042527C"/>
    <w:rsid w:val="00425FD4"/>
    <w:rsid w:val="00433D1D"/>
    <w:rsid w:val="004402F9"/>
    <w:rsid w:val="00446923"/>
    <w:rsid w:val="0045751B"/>
    <w:rsid w:val="004738C9"/>
    <w:rsid w:val="004C66A3"/>
    <w:rsid w:val="004C7FDD"/>
    <w:rsid w:val="004E180E"/>
    <w:rsid w:val="004E35B6"/>
    <w:rsid w:val="004E7AD8"/>
    <w:rsid w:val="004F63C1"/>
    <w:rsid w:val="005054A9"/>
    <w:rsid w:val="00510F80"/>
    <w:rsid w:val="00521987"/>
    <w:rsid w:val="00536E8A"/>
    <w:rsid w:val="005410CF"/>
    <w:rsid w:val="00546C3E"/>
    <w:rsid w:val="00556210"/>
    <w:rsid w:val="00563F80"/>
    <w:rsid w:val="00567E97"/>
    <w:rsid w:val="00570083"/>
    <w:rsid w:val="005A454A"/>
    <w:rsid w:val="005C2748"/>
    <w:rsid w:val="005C35E0"/>
    <w:rsid w:val="005E48B2"/>
    <w:rsid w:val="0061708F"/>
    <w:rsid w:val="00621CAB"/>
    <w:rsid w:val="006239C0"/>
    <w:rsid w:val="00644A76"/>
    <w:rsid w:val="006511AD"/>
    <w:rsid w:val="006521CC"/>
    <w:rsid w:val="00652FA8"/>
    <w:rsid w:val="00665E06"/>
    <w:rsid w:val="00666827"/>
    <w:rsid w:val="00671039"/>
    <w:rsid w:val="006843DF"/>
    <w:rsid w:val="006C0D45"/>
    <w:rsid w:val="006E34AA"/>
    <w:rsid w:val="00715A5B"/>
    <w:rsid w:val="00737BC3"/>
    <w:rsid w:val="0074307E"/>
    <w:rsid w:val="007442C5"/>
    <w:rsid w:val="00770701"/>
    <w:rsid w:val="00776347"/>
    <w:rsid w:val="00782388"/>
    <w:rsid w:val="007932FD"/>
    <w:rsid w:val="00793549"/>
    <w:rsid w:val="007B2441"/>
    <w:rsid w:val="007B51BB"/>
    <w:rsid w:val="007C45F4"/>
    <w:rsid w:val="007D58EA"/>
    <w:rsid w:val="007E3B0A"/>
    <w:rsid w:val="008028DC"/>
    <w:rsid w:val="00842F04"/>
    <w:rsid w:val="008431A6"/>
    <w:rsid w:val="00857A95"/>
    <w:rsid w:val="008651C4"/>
    <w:rsid w:val="00870A98"/>
    <w:rsid w:val="008F2F0A"/>
    <w:rsid w:val="00904C66"/>
    <w:rsid w:val="009151D7"/>
    <w:rsid w:val="009165EA"/>
    <w:rsid w:val="009209B0"/>
    <w:rsid w:val="00933317"/>
    <w:rsid w:val="00942B8F"/>
    <w:rsid w:val="00953FF8"/>
    <w:rsid w:val="00963097"/>
    <w:rsid w:val="00966BAB"/>
    <w:rsid w:val="00982CF4"/>
    <w:rsid w:val="00995284"/>
    <w:rsid w:val="009A2936"/>
    <w:rsid w:val="009B0AB6"/>
    <w:rsid w:val="009B3CF9"/>
    <w:rsid w:val="009C2EDE"/>
    <w:rsid w:val="009F3B3C"/>
    <w:rsid w:val="00A118EF"/>
    <w:rsid w:val="00A12AD8"/>
    <w:rsid w:val="00A22929"/>
    <w:rsid w:val="00A317FE"/>
    <w:rsid w:val="00A457E7"/>
    <w:rsid w:val="00A51F25"/>
    <w:rsid w:val="00A556C6"/>
    <w:rsid w:val="00A621B4"/>
    <w:rsid w:val="00A63044"/>
    <w:rsid w:val="00A650F1"/>
    <w:rsid w:val="00A72767"/>
    <w:rsid w:val="00A7482F"/>
    <w:rsid w:val="00A7651C"/>
    <w:rsid w:val="00A977B1"/>
    <w:rsid w:val="00A97937"/>
    <w:rsid w:val="00AA648F"/>
    <w:rsid w:val="00AD28B0"/>
    <w:rsid w:val="00AF229D"/>
    <w:rsid w:val="00B06239"/>
    <w:rsid w:val="00B10F38"/>
    <w:rsid w:val="00B42D92"/>
    <w:rsid w:val="00B4585A"/>
    <w:rsid w:val="00B540E2"/>
    <w:rsid w:val="00B5453E"/>
    <w:rsid w:val="00B74AFD"/>
    <w:rsid w:val="00BA2279"/>
    <w:rsid w:val="00BB08C6"/>
    <w:rsid w:val="00BB6877"/>
    <w:rsid w:val="00BB6F4D"/>
    <w:rsid w:val="00BB76F4"/>
    <w:rsid w:val="00BD115F"/>
    <w:rsid w:val="00C032A4"/>
    <w:rsid w:val="00C03FAF"/>
    <w:rsid w:val="00C15EB6"/>
    <w:rsid w:val="00C4659C"/>
    <w:rsid w:val="00C54180"/>
    <w:rsid w:val="00C71277"/>
    <w:rsid w:val="00C772E3"/>
    <w:rsid w:val="00C92B91"/>
    <w:rsid w:val="00CB2175"/>
    <w:rsid w:val="00CC03EB"/>
    <w:rsid w:val="00CD52EE"/>
    <w:rsid w:val="00CD57D0"/>
    <w:rsid w:val="00CD6EC8"/>
    <w:rsid w:val="00CD7075"/>
    <w:rsid w:val="00CD7E04"/>
    <w:rsid w:val="00CE2CFD"/>
    <w:rsid w:val="00CE52FE"/>
    <w:rsid w:val="00CF6EBC"/>
    <w:rsid w:val="00D37631"/>
    <w:rsid w:val="00D534BC"/>
    <w:rsid w:val="00D8559E"/>
    <w:rsid w:val="00D97202"/>
    <w:rsid w:val="00DD782A"/>
    <w:rsid w:val="00DE44DC"/>
    <w:rsid w:val="00DE45BA"/>
    <w:rsid w:val="00DF3FC3"/>
    <w:rsid w:val="00E04FA0"/>
    <w:rsid w:val="00E21A7D"/>
    <w:rsid w:val="00E2672F"/>
    <w:rsid w:val="00E35C0E"/>
    <w:rsid w:val="00E5312F"/>
    <w:rsid w:val="00E60DAB"/>
    <w:rsid w:val="00E642AE"/>
    <w:rsid w:val="00E66E33"/>
    <w:rsid w:val="00E75E10"/>
    <w:rsid w:val="00E971B2"/>
    <w:rsid w:val="00EA73FF"/>
    <w:rsid w:val="00EB6571"/>
    <w:rsid w:val="00EF24F4"/>
    <w:rsid w:val="00EF4898"/>
    <w:rsid w:val="00F20AC6"/>
    <w:rsid w:val="00F21339"/>
    <w:rsid w:val="00F3482A"/>
    <w:rsid w:val="00F40BE8"/>
    <w:rsid w:val="00F4275F"/>
    <w:rsid w:val="00F75080"/>
    <w:rsid w:val="00F867E8"/>
    <w:rsid w:val="00FA3D4F"/>
    <w:rsid w:val="00FC0D76"/>
    <w:rsid w:val="00FC3221"/>
    <w:rsid w:val="00FC7232"/>
    <w:rsid w:val="00FD0ADC"/>
    <w:rsid w:val="00FD50A5"/>
    <w:rsid w:val="00FE29A0"/>
    <w:rsid w:val="00FE3CF5"/>
    <w:rsid w:val="00FF413C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964"/>
  <w15:chartTrackingRefBased/>
  <w15:docId w15:val="{0E4F2053-EA4B-44F2-A84E-DC1FF01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53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9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0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8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Denise Smieja</cp:lastModifiedBy>
  <cp:revision>2</cp:revision>
  <dcterms:created xsi:type="dcterms:W3CDTF">2020-08-21T19:57:00Z</dcterms:created>
  <dcterms:modified xsi:type="dcterms:W3CDTF">2020-08-21T19:57:00Z</dcterms:modified>
</cp:coreProperties>
</file>