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325"/>
        <w:gridCol w:w="4230"/>
        <w:gridCol w:w="3150"/>
        <w:gridCol w:w="2245"/>
      </w:tblGrid>
      <w:tr w:rsidR="00613862" w14:paraId="6E200900" w14:textId="77777777" w:rsidTr="0061426B">
        <w:tc>
          <w:tcPr>
            <w:tcW w:w="3325" w:type="dxa"/>
            <w:shd w:val="clear" w:color="auto" w:fill="E2EFD9" w:themeFill="accent6" w:themeFillTint="33"/>
          </w:tcPr>
          <w:p w14:paraId="6AD83731" w14:textId="77777777" w:rsidR="00E0408C" w:rsidRDefault="00E0408C" w:rsidP="002358F5">
            <w:r>
              <w:t xml:space="preserve">Group </w:t>
            </w:r>
          </w:p>
        </w:tc>
        <w:tc>
          <w:tcPr>
            <w:tcW w:w="4230" w:type="dxa"/>
            <w:shd w:val="clear" w:color="auto" w:fill="E2EFD9" w:themeFill="accent6" w:themeFillTint="33"/>
          </w:tcPr>
          <w:p w14:paraId="03CA4824" w14:textId="77777777" w:rsidR="00E0408C" w:rsidRDefault="00E0408C" w:rsidP="002358F5">
            <w:r>
              <w:t xml:space="preserve">Updates </w:t>
            </w:r>
          </w:p>
        </w:tc>
        <w:tc>
          <w:tcPr>
            <w:tcW w:w="3150" w:type="dxa"/>
            <w:shd w:val="clear" w:color="auto" w:fill="E2EFD9" w:themeFill="accent6" w:themeFillTint="33"/>
          </w:tcPr>
          <w:p w14:paraId="023E51F1" w14:textId="77777777" w:rsidR="00E0408C" w:rsidRDefault="00E0408C" w:rsidP="002358F5">
            <w:r>
              <w:t>Upcoming work/agenda items</w:t>
            </w:r>
          </w:p>
        </w:tc>
        <w:tc>
          <w:tcPr>
            <w:tcW w:w="2245" w:type="dxa"/>
            <w:shd w:val="clear" w:color="auto" w:fill="E2EFD9" w:themeFill="accent6" w:themeFillTint="33"/>
          </w:tcPr>
          <w:p w14:paraId="2BDA3B41" w14:textId="77777777" w:rsidR="00E0408C" w:rsidRDefault="00E0408C" w:rsidP="002358F5">
            <w:r>
              <w:t>Decision Points</w:t>
            </w:r>
          </w:p>
        </w:tc>
      </w:tr>
      <w:tr w:rsidR="00613862" w14:paraId="405A97C6" w14:textId="77777777" w:rsidTr="0061426B">
        <w:tc>
          <w:tcPr>
            <w:tcW w:w="3325" w:type="dxa"/>
          </w:tcPr>
          <w:p w14:paraId="5E06346B" w14:textId="77777777" w:rsidR="00E0408C" w:rsidRDefault="00E0408C" w:rsidP="002358F5">
            <w:r>
              <w:t>SMAC Governing Board</w:t>
            </w:r>
          </w:p>
        </w:tc>
        <w:tc>
          <w:tcPr>
            <w:tcW w:w="4230" w:type="dxa"/>
          </w:tcPr>
          <w:p w14:paraId="73708BB0" w14:textId="77777777" w:rsidR="00613862" w:rsidRPr="00500F50" w:rsidRDefault="00500F50" w:rsidP="00500F50">
            <w:pPr>
              <w:pStyle w:val="ListParagraph"/>
              <w:numPr>
                <w:ilvl w:val="0"/>
                <w:numId w:val="1"/>
              </w:numPr>
              <w:rPr>
                <w:sz w:val="18"/>
                <w:szCs w:val="18"/>
              </w:rPr>
            </w:pPr>
            <w:r w:rsidRPr="00500F50">
              <w:rPr>
                <w:sz w:val="18"/>
                <w:szCs w:val="18"/>
              </w:rPr>
              <w:t>Approval of eligibility for all new projects</w:t>
            </w:r>
          </w:p>
          <w:p w14:paraId="0A7F45DC" w14:textId="77777777" w:rsidR="00500F50" w:rsidRPr="00500F50" w:rsidRDefault="00500F50" w:rsidP="00500F50">
            <w:pPr>
              <w:pStyle w:val="ListParagraph"/>
              <w:numPr>
                <w:ilvl w:val="0"/>
                <w:numId w:val="1"/>
              </w:numPr>
              <w:rPr>
                <w:sz w:val="18"/>
                <w:szCs w:val="18"/>
              </w:rPr>
            </w:pPr>
            <w:r w:rsidRPr="00500F50">
              <w:rPr>
                <w:sz w:val="18"/>
                <w:szCs w:val="18"/>
              </w:rPr>
              <w:t>HUD released Emergency Housing Vouchers to Metro HRA (covering Anoka and Carver counties) and Dakota CDA.  All referrals for EHV are required to come through CES. SMAC staff are working with PHA staff to get an MOU in place for how referrals and services will be coordinated.</w:t>
            </w:r>
          </w:p>
          <w:p w14:paraId="2F15CA9C" w14:textId="2699F4D4" w:rsidR="00500F50" w:rsidRDefault="00500F50" w:rsidP="00500F50">
            <w:pPr>
              <w:pStyle w:val="ListParagraph"/>
              <w:numPr>
                <w:ilvl w:val="0"/>
                <w:numId w:val="1"/>
              </w:numPr>
            </w:pPr>
            <w:r w:rsidRPr="00500F50">
              <w:rPr>
                <w:sz w:val="18"/>
                <w:szCs w:val="18"/>
              </w:rPr>
              <w:t>Point in Time and Housing Inventory Chart data was reviewed.</w:t>
            </w:r>
            <w:r>
              <w:rPr>
                <w:sz w:val="18"/>
                <w:szCs w:val="18"/>
              </w:rPr>
              <w:t xml:space="preserve">  Point in Time numbers are up from 2020 due to the increased shelter capacity within the region during COVID.</w:t>
            </w:r>
          </w:p>
        </w:tc>
        <w:tc>
          <w:tcPr>
            <w:tcW w:w="3150" w:type="dxa"/>
          </w:tcPr>
          <w:p w14:paraId="720A7F10" w14:textId="500CC5B3" w:rsidR="00613862" w:rsidRDefault="00500F50" w:rsidP="00613862">
            <w:pPr>
              <w:pStyle w:val="ListParagraph"/>
              <w:numPr>
                <w:ilvl w:val="0"/>
                <w:numId w:val="1"/>
              </w:numPr>
            </w:pPr>
            <w:r w:rsidRPr="00500F50">
              <w:rPr>
                <w:sz w:val="18"/>
                <w:szCs w:val="18"/>
              </w:rPr>
              <w:t>Youth Demonstration Project funds are available through HUD.  SMAC would like to apply if Hearth Connection is willing to serve as Collaborative Applicant as they do for the CoC Competition.  Minimum grant award through YHDP is $1 million.  This will require a lot of coordination with county child welfare departments and school districts.</w:t>
            </w:r>
          </w:p>
        </w:tc>
        <w:tc>
          <w:tcPr>
            <w:tcW w:w="2245" w:type="dxa"/>
          </w:tcPr>
          <w:p w14:paraId="7D8E86CA" w14:textId="77777777" w:rsidR="00E0408C" w:rsidRPr="00500F50" w:rsidRDefault="00500F50" w:rsidP="00613862">
            <w:pPr>
              <w:pStyle w:val="ListParagraph"/>
              <w:numPr>
                <w:ilvl w:val="0"/>
                <w:numId w:val="1"/>
              </w:numPr>
              <w:rPr>
                <w:sz w:val="18"/>
                <w:szCs w:val="18"/>
              </w:rPr>
            </w:pPr>
            <w:r w:rsidRPr="00500F50">
              <w:rPr>
                <w:sz w:val="18"/>
                <w:szCs w:val="18"/>
              </w:rPr>
              <w:t>Approval of MN Housing Developer applications</w:t>
            </w:r>
          </w:p>
          <w:p w14:paraId="2AAE9D15" w14:textId="77777777" w:rsidR="00500F50" w:rsidRPr="00500F50" w:rsidRDefault="00500F50" w:rsidP="00613862">
            <w:pPr>
              <w:pStyle w:val="ListParagraph"/>
              <w:numPr>
                <w:ilvl w:val="0"/>
                <w:numId w:val="1"/>
              </w:numPr>
              <w:rPr>
                <w:sz w:val="18"/>
                <w:szCs w:val="18"/>
              </w:rPr>
            </w:pPr>
            <w:r w:rsidRPr="00500F50">
              <w:rPr>
                <w:sz w:val="18"/>
                <w:szCs w:val="18"/>
              </w:rPr>
              <w:t>Priorities for the 2022 MN Housing Tax Credit RFP</w:t>
            </w:r>
          </w:p>
          <w:p w14:paraId="17B97217" w14:textId="00A8C2C5" w:rsidR="00500F50" w:rsidRDefault="00500F50" w:rsidP="00613862">
            <w:pPr>
              <w:pStyle w:val="ListParagraph"/>
              <w:numPr>
                <w:ilvl w:val="0"/>
                <w:numId w:val="1"/>
              </w:numPr>
            </w:pPr>
            <w:r w:rsidRPr="00500F50">
              <w:rPr>
                <w:sz w:val="18"/>
                <w:szCs w:val="18"/>
              </w:rPr>
              <w:t>HMIS MOU between 10 MN CoCs, ICA and the HMIS Governing Board has been updated and needs approval from all 10 CoCs before it can be fully executed</w:t>
            </w:r>
          </w:p>
        </w:tc>
      </w:tr>
      <w:tr w:rsidR="00613862" w14:paraId="3337A72C" w14:textId="77777777" w:rsidTr="0061426B">
        <w:tc>
          <w:tcPr>
            <w:tcW w:w="3325" w:type="dxa"/>
          </w:tcPr>
          <w:p w14:paraId="6E7D6257" w14:textId="77777777" w:rsidR="00E0408C" w:rsidRDefault="00E0408C" w:rsidP="002358F5">
            <w:r>
              <w:t>Coordinated Entry Committee</w:t>
            </w:r>
          </w:p>
        </w:tc>
        <w:tc>
          <w:tcPr>
            <w:tcW w:w="4230" w:type="dxa"/>
          </w:tcPr>
          <w:p w14:paraId="7C56690C" w14:textId="77777777" w:rsidR="005465B7" w:rsidRPr="005465B7" w:rsidRDefault="005465B7" w:rsidP="005465B7">
            <w:pPr>
              <w:pStyle w:val="ListParagraph"/>
              <w:numPr>
                <w:ilvl w:val="0"/>
                <w:numId w:val="4"/>
              </w:numPr>
              <w:spacing w:line="256" w:lineRule="auto"/>
              <w:rPr>
                <w:sz w:val="18"/>
                <w:szCs w:val="18"/>
              </w:rPr>
            </w:pPr>
            <w:r w:rsidRPr="005465B7">
              <w:rPr>
                <w:sz w:val="18"/>
                <w:szCs w:val="18"/>
              </w:rPr>
              <w:t xml:space="preserve">Did a year in review at June meeting – focused on changes done in March of 2020 and compared 2019 to 2020-2021 to see progress </w:t>
            </w:r>
            <w:proofErr w:type="gramStart"/>
            <w:r w:rsidRPr="005465B7">
              <w:rPr>
                <w:sz w:val="18"/>
                <w:szCs w:val="18"/>
              </w:rPr>
              <w:t>that’s</w:t>
            </w:r>
            <w:proofErr w:type="gramEnd"/>
            <w:r w:rsidRPr="005465B7">
              <w:rPr>
                <w:sz w:val="18"/>
                <w:szCs w:val="18"/>
              </w:rPr>
              <w:t xml:space="preserve"> been made even in a pandemic.</w:t>
            </w:r>
          </w:p>
          <w:p w14:paraId="1A08FCA7" w14:textId="77777777" w:rsidR="005465B7" w:rsidRPr="005465B7" w:rsidRDefault="005465B7" w:rsidP="005465B7">
            <w:pPr>
              <w:pStyle w:val="ListParagraph"/>
              <w:numPr>
                <w:ilvl w:val="0"/>
                <w:numId w:val="4"/>
              </w:numPr>
              <w:spacing w:line="256" w:lineRule="auto"/>
              <w:rPr>
                <w:sz w:val="18"/>
                <w:szCs w:val="18"/>
              </w:rPr>
            </w:pPr>
            <w:r w:rsidRPr="005465B7">
              <w:rPr>
                <w:sz w:val="18"/>
                <w:szCs w:val="18"/>
              </w:rPr>
              <w:t>Still work to do – Racial equity being at the forefront.</w:t>
            </w:r>
          </w:p>
          <w:p w14:paraId="65D15FEB" w14:textId="77777777" w:rsidR="005465B7" w:rsidRPr="005465B7" w:rsidRDefault="005465B7" w:rsidP="005465B7">
            <w:pPr>
              <w:pStyle w:val="ListParagraph"/>
              <w:numPr>
                <w:ilvl w:val="0"/>
                <w:numId w:val="4"/>
              </w:numPr>
              <w:spacing w:line="256" w:lineRule="auto"/>
              <w:rPr>
                <w:sz w:val="18"/>
                <w:szCs w:val="18"/>
              </w:rPr>
            </w:pPr>
            <w:r w:rsidRPr="005465B7">
              <w:rPr>
                <w:sz w:val="18"/>
                <w:szCs w:val="18"/>
              </w:rPr>
              <w:t xml:space="preserve">Shared the need for additional </w:t>
            </w:r>
            <w:proofErr w:type="gramStart"/>
            <w:r w:rsidRPr="005465B7">
              <w:rPr>
                <w:sz w:val="18"/>
                <w:szCs w:val="18"/>
              </w:rPr>
              <w:t>inventory</w:t>
            </w:r>
            <w:proofErr w:type="gramEnd"/>
            <w:r w:rsidRPr="005465B7">
              <w:rPr>
                <w:sz w:val="18"/>
                <w:szCs w:val="18"/>
              </w:rPr>
              <w:t xml:space="preserve"> </w:t>
            </w:r>
          </w:p>
          <w:p w14:paraId="5B329485" w14:textId="2C599EA0" w:rsidR="00F32AA1" w:rsidRDefault="005465B7" w:rsidP="005465B7">
            <w:pPr>
              <w:pStyle w:val="ListParagraph"/>
              <w:numPr>
                <w:ilvl w:val="0"/>
                <w:numId w:val="4"/>
              </w:numPr>
            </w:pPr>
            <w:r w:rsidRPr="005465B7">
              <w:rPr>
                <w:sz w:val="18"/>
                <w:szCs w:val="18"/>
              </w:rPr>
              <w:t>Expanding access to all housing resources with an invitation to have members participate in Centralized Access workgroup</w:t>
            </w:r>
          </w:p>
        </w:tc>
        <w:tc>
          <w:tcPr>
            <w:tcW w:w="3150" w:type="dxa"/>
          </w:tcPr>
          <w:p w14:paraId="76C19BEC" w14:textId="77777777" w:rsidR="005465B7" w:rsidRPr="005465B7" w:rsidRDefault="005465B7" w:rsidP="005465B7">
            <w:pPr>
              <w:pStyle w:val="ListParagraph"/>
              <w:numPr>
                <w:ilvl w:val="0"/>
                <w:numId w:val="9"/>
              </w:numPr>
              <w:spacing w:line="256" w:lineRule="auto"/>
              <w:rPr>
                <w:sz w:val="18"/>
                <w:szCs w:val="18"/>
              </w:rPr>
            </w:pPr>
            <w:r w:rsidRPr="005465B7">
              <w:rPr>
                <w:sz w:val="18"/>
                <w:szCs w:val="18"/>
              </w:rPr>
              <w:t xml:space="preserve">Local presentations this month - Community support for assessors – updating clients whose assessments are 180+  </w:t>
            </w:r>
          </w:p>
          <w:p w14:paraId="3E78A854" w14:textId="7C87B540" w:rsidR="00E0408C" w:rsidRDefault="005465B7" w:rsidP="005465B7">
            <w:pPr>
              <w:pStyle w:val="ListParagraph"/>
              <w:numPr>
                <w:ilvl w:val="0"/>
                <w:numId w:val="3"/>
              </w:numPr>
            </w:pPr>
            <w:r w:rsidRPr="005465B7">
              <w:rPr>
                <w:sz w:val="18"/>
                <w:szCs w:val="18"/>
              </w:rPr>
              <w:t>Centralized Access Workgroup – exploring funding options, would like to expand participation among members.</w:t>
            </w:r>
          </w:p>
        </w:tc>
        <w:tc>
          <w:tcPr>
            <w:tcW w:w="2245" w:type="dxa"/>
          </w:tcPr>
          <w:p w14:paraId="35DE7B94" w14:textId="77777777" w:rsidR="00E0408C" w:rsidRDefault="00E0408C" w:rsidP="002358F5"/>
        </w:tc>
      </w:tr>
      <w:tr w:rsidR="00613862" w14:paraId="566069D0" w14:textId="77777777" w:rsidTr="0061426B">
        <w:tc>
          <w:tcPr>
            <w:tcW w:w="3325" w:type="dxa"/>
          </w:tcPr>
          <w:p w14:paraId="7915049E" w14:textId="77777777" w:rsidR="00E0408C" w:rsidRDefault="00E0408C" w:rsidP="002358F5">
            <w:r>
              <w:t>Directors Council</w:t>
            </w:r>
          </w:p>
        </w:tc>
        <w:tc>
          <w:tcPr>
            <w:tcW w:w="4230" w:type="dxa"/>
          </w:tcPr>
          <w:p w14:paraId="365F2619" w14:textId="74FEBDB5" w:rsidR="00B5469B" w:rsidRDefault="00B5469B" w:rsidP="00F32AA1">
            <w:pPr>
              <w:pStyle w:val="ListParagraph"/>
              <w:numPr>
                <w:ilvl w:val="0"/>
                <w:numId w:val="3"/>
              </w:numPr>
            </w:pPr>
          </w:p>
        </w:tc>
        <w:tc>
          <w:tcPr>
            <w:tcW w:w="3150" w:type="dxa"/>
          </w:tcPr>
          <w:p w14:paraId="7B455AEE" w14:textId="77777777" w:rsidR="00E0408C" w:rsidRDefault="00E0408C" w:rsidP="002358F5"/>
        </w:tc>
        <w:tc>
          <w:tcPr>
            <w:tcW w:w="2245" w:type="dxa"/>
          </w:tcPr>
          <w:p w14:paraId="2EBE521A" w14:textId="77777777" w:rsidR="00E0408C" w:rsidRDefault="00E0408C" w:rsidP="002358F5"/>
        </w:tc>
      </w:tr>
      <w:tr w:rsidR="00613862" w14:paraId="4A64E4E2" w14:textId="77777777" w:rsidTr="0061426B">
        <w:tc>
          <w:tcPr>
            <w:tcW w:w="3325" w:type="dxa"/>
          </w:tcPr>
          <w:p w14:paraId="4BC83D82" w14:textId="77777777" w:rsidR="00E0408C" w:rsidRDefault="00E0408C" w:rsidP="002358F5">
            <w:r>
              <w:t>Operations Committee</w:t>
            </w:r>
          </w:p>
        </w:tc>
        <w:tc>
          <w:tcPr>
            <w:tcW w:w="4230" w:type="dxa"/>
          </w:tcPr>
          <w:p w14:paraId="5B5392B4" w14:textId="77777777" w:rsidR="005465B7" w:rsidRPr="005465B7" w:rsidRDefault="005465B7" w:rsidP="005465B7">
            <w:pPr>
              <w:pStyle w:val="ListParagraph"/>
              <w:numPr>
                <w:ilvl w:val="0"/>
                <w:numId w:val="3"/>
              </w:numPr>
              <w:rPr>
                <w:rFonts w:eastAsia="Times New Roman"/>
                <w:color w:val="000000"/>
                <w:sz w:val="20"/>
                <w:szCs w:val="20"/>
              </w:rPr>
            </w:pPr>
            <w:r w:rsidRPr="005465B7">
              <w:rPr>
                <w:rFonts w:eastAsia="Times New Roman"/>
                <w:color w:val="000000"/>
                <w:sz w:val="20"/>
                <w:szCs w:val="20"/>
              </w:rPr>
              <w:t xml:space="preserve">Abbreviated meeting in May. Each community provided updates about work happening in local communities. </w:t>
            </w:r>
          </w:p>
          <w:p w14:paraId="4A5E8A18" w14:textId="2B51283E" w:rsidR="005465B7" w:rsidRPr="005465B7" w:rsidRDefault="005465B7" w:rsidP="005465B7">
            <w:pPr>
              <w:pStyle w:val="ListParagraph"/>
              <w:numPr>
                <w:ilvl w:val="0"/>
                <w:numId w:val="3"/>
              </w:numPr>
              <w:rPr>
                <w:rFonts w:eastAsia="Times New Roman"/>
                <w:color w:val="000000"/>
                <w:sz w:val="20"/>
                <w:szCs w:val="20"/>
              </w:rPr>
            </w:pPr>
            <w:r w:rsidRPr="005465B7">
              <w:rPr>
                <w:rFonts w:eastAsia="Times New Roman"/>
                <w:color w:val="000000"/>
                <w:sz w:val="20"/>
                <w:szCs w:val="20"/>
              </w:rPr>
              <w:t>Discussed CLI &amp; other grant updates (namely that we were all waiting on responses), local planning efforts related to ARPA HCVs.</w:t>
            </w:r>
          </w:p>
          <w:p w14:paraId="4CEAB0E6" w14:textId="064F4D32" w:rsidR="005465B7" w:rsidRPr="005465B7" w:rsidRDefault="005465B7" w:rsidP="005465B7">
            <w:pPr>
              <w:pStyle w:val="ListParagraph"/>
              <w:numPr>
                <w:ilvl w:val="0"/>
                <w:numId w:val="3"/>
              </w:numPr>
              <w:rPr>
                <w:rFonts w:eastAsia="Times New Roman"/>
                <w:color w:val="000000"/>
                <w:sz w:val="20"/>
                <w:szCs w:val="20"/>
              </w:rPr>
            </w:pPr>
            <w:r w:rsidRPr="005465B7">
              <w:rPr>
                <w:rFonts w:eastAsia="Times New Roman"/>
                <w:color w:val="000000"/>
                <w:sz w:val="20"/>
                <w:szCs w:val="20"/>
              </w:rPr>
              <w:t>Had an initial conversation about some front-end Prevention related questions that MHFA posed to CoC Coordinators.  </w:t>
            </w:r>
          </w:p>
          <w:p w14:paraId="5BEC821C" w14:textId="6BC0CE80" w:rsidR="00B5469B" w:rsidRPr="0096539C" w:rsidRDefault="00B5469B" w:rsidP="00B5469B">
            <w:pPr>
              <w:pStyle w:val="ListParagraph"/>
              <w:numPr>
                <w:ilvl w:val="0"/>
                <w:numId w:val="5"/>
              </w:numPr>
              <w:rPr>
                <w:sz w:val="20"/>
                <w:szCs w:val="20"/>
              </w:rPr>
            </w:pPr>
          </w:p>
        </w:tc>
        <w:tc>
          <w:tcPr>
            <w:tcW w:w="3150" w:type="dxa"/>
          </w:tcPr>
          <w:p w14:paraId="1B485CDE" w14:textId="77777777" w:rsidR="00E0408C" w:rsidRDefault="00E0408C" w:rsidP="002358F5"/>
        </w:tc>
        <w:tc>
          <w:tcPr>
            <w:tcW w:w="2245" w:type="dxa"/>
          </w:tcPr>
          <w:p w14:paraId="421F6B51" w14:textId="77777777" w:rsidR="00E0408C" w:rsidRDefault="00E0408C" w:rsidP="002358F5"/>
        </w:tc>
      </w:tr>
      <w:tr w:rsidR="00613862" w14:paraId="4EA5DE33" w14:textId="77777777" w:rsidTr="0061426B">
        <w:tc>
          <w:tcPr>
            <w:tcW w:w="3325" w:type="dxa"/>
          </w:tcPr>
          <w:p w14:paraId="1BAD7F81" w14:textId="77777777" w:rsidR="00E0408C" w:rsidRDefault="00E0408C" w:rsidP="002358F5">
            <w:r>
              <w:t>Project Monitoring and Evaluation</w:t>
            </w:r>
          </w:p>
        </w:tc>
        <w:tc>
          <w:tcPr>
            <w:tcW w:w="4230" w:type="dxa"/>
          </w:tcPr>
          <w:p w14:paraId="6A0143B0" w14:textId="1E7C94AA" w:rsidR="00E0408C" w:rsidRDefault="00500F50" w:rsidP="00500F50">
            <w:pPr>
              <w:pStyle w:val="ListParagraph"/>
              <w:numPr>
                <w:ilvl w:val="0"/>
                <w:numId w:val="5"/>
              </w:numPr>
            </w:pPr>
            <w:r w:rsidRPr="00500F50">
              <w:rPr>
                <w:sz w:val="18"/>
                <w:szCs w:val="18"/>
              </w:rPr>
              <w:t>Committee members selected.  First meeting will be early June</w:t>
            </w:r>
            <w:r>
              <w:rPr>
                <w:sz w:val="18"/>
                <w:szCs w:val="18"/>
              </w:rPr>
              <w:t>.</w:t>
            </w:r>
          </w:p>
        </w:tc>
        <w:tc>
          <w:tcPr>
            <w:tcW w:w="3150" w:type="dxa"/>
          </w:tcPr>
          <w:p w14:paraId="4D8EB03F" w14:textId="77777777" w:rsidR="00E0408C" w:rsidRDefault="00E0408C" w:rsidP="002358F5"/>
        </w:tc>
        <w:tc>
          <w:tcPr>
            <w:tcW w:w="2245" w:type="dxa"/>
          </w:tcPr>
          <w:p w14:paraId="760C3DA5" w14:textId="77777777" w:rsidR="00E0408C" w:rsidRDefault="00E0408C" w:rsidP="002358F5"/>
        </w:tc>
      </w:tr>
      <w:tr w:rsidR="00613862" w14:paraId="242801CE" w14:textId="77777777" w:rsidTr="0061426B">
        <w:tc>
          <w:tcPr>
            <w:tcW w:w="3325" w:type="dxa"/>
          </w:tcPr>
          <w:p w14:paraId="4C4A1CB9" w14:textId="77777777" w:rsidR="00E0408C" w:rsidRDefault="00E0408C" w:rsidP="002358F5">
            <w:r>
              <w:lastRenderedPageBreak/>
              <w:t>SPARC</w:t>
            </w:r>
          </w:p>
        </w:tc>
        <w:tc>
          <w:tcPr>
            <w:tcW w:w="4230" w:type="dxa"/>
          </w:tcPr>
          <w:p w14:paraId="523CC903" w14:textId="0610ED36" w:rsidR="0096539C" w:rsidRDefault="005465B7" w:rsidP="0096539C">
            <w:pPr>
              <w:pStyle w:val="ListParagraph"/>
              <w:numPr>
                <w:ilvl w:val="0"/>
                <w:numId w:val="6"/>
              </w:numPr>
            </w:pPr>
            <w:r w:rsidRPr="005465B7">
              <w:rPr>
                <w:sz w:val="18"/>
                <w:szCs w:val="18"/>
              </w:rPr>
              <w:t>Continue to work with Racial Equity Accountability Partnership (REAP) the statewide group on Equity work to support the new cohort of CoCs working on Racial Equity.</w:t>
            </w:r>
          </w:p>
        </w:tc>
        <w:tc>
          <w:tcPr>
            <w:tcW w:w="3150" w:type="dxa"/>
          </w:tcPr>
          <w:p w14:paraId="00F84FD6" w14:textId="4A6F574B" w:rsidR="00D3238A" w:rsidRDefault="005465B7" w:rsidP="00D3238A">
            <w:pPr>
              <w:pStyle w:val="ListParagraph"/>
              <w:numPr>
                <w:ilvl w:val="0"/>
                <w:numId w:val="6"/>
              </w:numPr>
            </w:pPr>
            <w:r w:rsidRPr="005465B7">
              <w:rPr>
                <w:sz w:val="18"/>
                <w:szCs w:val="18"/>
              </w:rPr>
              <w:t>Next meeting is July 15 to set priorities for remainder of 2021.</w:t>
            </w:r>
          </w:p>
        </w:tc>
        <w:tc>
          <w:tcPr>
            <w:tcW w:w="2245" w:type="dxa"/>
          </w:tcPr>
          <w:p w14:paraId="511B6CC1" w14:textId="77777777" w:rsidR="00E0408C" w:rsidRDefault="00E0408C" w:rsidP="002358F5"/>
        </w:tc>
      </w:tr>
    </w:tbl>
    <w:p w14:paraId="5A6E4FCB" w14:textId="039F50B0" w:rsidR="003E4CAF" w:rsidRDefault="00494621"/>
    <w:p w14:paraId="11E71C60" w14:textId="6A383756" w:rsidR="005465B7" w:rsidRDefault="005465B7"/>
    <w:p w14:paraId="09AFBB62" w14:textId="35B4499D" w:rsidR="005465B7" w:rsidRDefault="005465B7"/>
    <w:p w14:paraId="6078C98D" w14:textId="77777777" w:rsidR="005465B7" w:rsidRDefault="005465B7"/>
    <w:p w14:paraId="324538AC" w14:textId="249BF46E" w:rsidR="00E0408C" w:rsidRDefault="00E0408C"/>
    <w:tbl>
      <w:tblPr>
        <w:tblStyle w:val="TableGrid"/>
        <w:tblW w:w="0" w:type="auto"/>
        <w:tblLook w:val="04A0" w:firstRow="1" w:lastRow="0" w:firstColumn="1" w:lastColumn="0" w:noHBand="0" w:noVBand="1"/>
      </w:tblPr>
      <w:tblGrid>
        <w:gridCol w:w="3325"/>
        <w:gridCol w:w="3149"/>
        <w:gridCol w:w="3238"/>
        <w:gridCol w:w="3238"/>
      </w:tblGrid>
      <w:tr w:rsidR="00E0408C" w14:paraId="5F42C1B6" w14:textId="77777777" w:rsidTr="002358F5">
        <w:tc>
          <w:tcPr>
            <w:tcW w:w="3325" w:type="dxa"/>
            <w:shd w:val="clear" w:color="auto" w:fill="E2EFD9" w:themeFill="accent6" w:themeFillTint="33"/>
          </w:tcPr>
          <w:p w14:paraId="55D39716" w14:textId="77777777" w:rsidR="00E0408C" w:rsidRDefault="00E0408C" w:rsidP="002358F5">
            <w:r>
              <w:t>Local Group</w:t>
            </w:r>
          </w:p>
        </w:tc>
        <w:tc>
          <w:tcPr>
            <w:tcW w:w="3149" w:type="dxa"/>
            <w:shd w:val="clear" w:color="auto" w:fill="E2EFD9" w:themeFill="accent6" w:themeFillTint="33"/>
          </w:tcPr>
          <w:p w14:paraId="31580A6C" w14:textId="77777777" w:rsidR="00E0408C" w:rsidRDefault="00E0408C" w:rsidP="002358F5">
            <w:r>
              <w:t>Updates</w:t>
            </w:r>
          </w:p>
        </w:tc>
        <w:tc>
          <w:tcPr>
            <w:tcW w:w="3238" w:type="dxa"/>
            <w:shd w:val="clear" w:color="auto" w:fill="E2EFD9" w:themeFill="accent6" w:themeFillTint="33"/>
          </w:tcPr>
          <w:p w14:paraId="1994AC80" w14:textId="77777777" w:rsidR="00E0408C" w:rsidRDefault="00E0408C" w:rsidP="002358F5">
            <w:r>
              <w:t>Upcoming work/agenda items</w:t>
            </w:r>
          </w:p>
        </w:tc>
        <w:tc>
          <w:tcPr>
            <w:tcW w:w="3238" w:type="dxa"/>
            <w:shd w:val="clear" w:color="auto" w:fill="E2EFD9" w:themeFill="accent6" w:themeFillTint="33"/>
          </w:tcPr>
          <w:p w14:paraId="77AA671D" w14:textId="77777777" w:rsidR="00E0408C" w:rsidRDefault="00E0408C" w:rsidP="002358F5">
            <w:r>
              <w:t>Decision Points</w:t>
            </w:r>
          </w:p>
        </w:tc>
      </w:tr>
      <w:tr w:rsidR="00E0408C" w14:paraId="0A627189" w14:textId="77777777" w:rsidTr="002358F5">
        <w:tc>
          <w:tcPr>
            <w:tcW w:w="3325" w:type="dxa"/>
          </w:tcPr>
          <w:p w14:paraId="1F0E5ED3" w14:textId="77777777" w:rsidR="00E0408C" w:rsidRDefault="00E0408C" w:rsidP="002358F5">
            <w:r>
              <w:t xml:space="preserve">Anoka </w:t>
            </w:r>
          </w:p>
          <w:p w14:paraId="05589A39" w14:textId="77777777" w:rsidR="00E0408C" w:rsidRDefault="00E0408C" w:rsidP="002358F5">
            <w:r>
              <w:t>(Heading Home Anoka)</w:t>
            </w:r>
          </w:p>
        </w:tc>
        <w:tc>
          <w:tcPr>
            <w:tcW w:w="3149" w:type="dxa"/>
          </w:tcPr>
          <w:p w14:paraId="310590B1" w14:textId="77777777" w:rsidR="005465B7" w:rsidRPr="005465B7" w:rsidRDefault="005465B7" w:rsidP="005465B7">
            <w:pPr>
              <w:rPr>
                <w:sz w:val="18"/>
                <w:szCs w:val="18"/>
              </w:rPr>
            </w:pPr>
            <w:r w:rsidRPr="005465B7">
              <w:rPr>
                <w:sz w:val="18"/>
                <w:szCs w:val="18"/>
              </w:rPr>
              <w:t>From May’s meeting</w:t>
            </w:r>
          </w:p>
          <w:p w14:paraId="3D8CB34A" w14:textId="77777777" w:rsidR="005465B7" w:rsidRPr="005465B7" w:rsidRDefault="005465B7" w:rsidP="005465B7">
            <w:pPr>
              <w:pStyle w:val="ListParagraph"/>
              <w:numPr>
                <w:ilvl w:val="0"/>
                <w:numId w:val="7"/>
              </w:numPr>
              <w:spacing w:line="256" w:lineRule="auto"/>
              <w:rPr>
                <w:sz w:val="18"/>
                <w:szCs w:val="18"/>
              </w:rPr>
            </w:pPr>
            <w:r w:rsidRPr="005465B7">
              <w:rPr>
                <w:sz w:val="18"/>
                <w:szCs w:val="18"/>
              </w:rPr>
              <w:t xml:space="preserve">FHPAP app turned in - $1.296M requested to serve 299 </w:t>
            </w:r>
            <w:proofErr w:type="gramStart"/>
            <w:r w:rsidRPr="005465B7">
              <w:rPr>
                <w:sz w:val="18"/>
                <w:szCs w:val="18"/>
              </w:rPr>
              <w:t>households</w:t>
            </w:r>
            <w:proofErr w:type="gramEnd"/>
          </w:p>
          <w:p w14:paraId="59C6E151" w14:textId="77777777" w:rsidR="005465B7" w:rsidRPr="005465B7" w:rsidRDefault="005465B7" w:rsidP="005465B7">
            <w:pPr>
              <w:pStyle w:val="ListParagraph"/>
              <w:numPr>
                <w:ilvl w:val="0"/>
                <w:numId w:val="7"/>
              </w:numPr>
              <w:spacing w:line="256" w:lineRule="auto"/>
              <w:rPr>
                <w:sz w:val="18"/>
                <w:szCs w:val="18"/>
              </w:rPr>
            </w:pPr>
            <w:r w:rsidRPr="005465B7">
              <w:rPr>
                <w:sz w:val="18"/>
                <w:szCs w:val="18"/>
              </w:rPr>
              <w:t xml:space="preserve">Developer kickoff </w:t>
            </w:r>
            <w:proofErr w:type="gramStart"/>
            <w:r w:rsidRPr="005465B7">
              <w:rPr>
                <w:sz w:val="18"/>
                <w:szCs w:val="18"/>
              </w:rPr>
              <w:t>similar to</w:t>
            </w:r>
            <w:proofErr w:type="gramEnd"/>
            <w:r w:rsidRPr="005465B7">
              <w:rPr>
                <w:sz w:val="18"/>
                <w:szCs w:val="18"/>
              </w:rPr>
              <w:t xml:space="preserve"> MN Housing’s on 5/4 – only 1 developer attended, no Developments for 2021.</w:t>
            </w:r>
          </w:p>
          <w:p w14:paraId="332140D1" w14:textId="3DBECC8C" w:rsidR="00E0408C" w:rsidRPr="005465B7" w:rsidRDefault="005465B7" w:rsidP="005465B7">
            <w:pPr>
              <w:pStyle w:val="ListParagraph"/>
              <w:numPr>
                <w:ilvl w:val="0"/>
                <w:numId w:val="7"/>
              </w:numPr>
              <w:rPr>
                <w:sz w:val="18"/>
                <w:szCs w:val="18"/>
              </w:rPr>
            </w:pPr>
            <w:r w:rsidRPr="005465B7">
              <w:rPr>
                <w:sz w:val="18"/>
                <w:szCs w:val="18"/>
              </w:rPr>
              <w:t xml:space="preserve">Mediation and Restorative Services – great resource for tenants/LLs and the ability to do restorative justice as well.  </w:t>
            </w:r>
          </w:p>
        </w:tc>
        <w:tc>
          <w:tcPr>
            <w:tcW w:w="3238" w:type="dxa"/>
          </w:tcPr>
          <w:p w14:paraId="1DC0700A" w14:textId="77777777" w:rsidR="00E0408C" w:rsidRDefault="00E0408C" w:rsidP="002358F5"/>
        </w:tc>
        <w:tc>
          <w:tcPr>
            <w:tcW w:w="3238" w:type="dxa"/>
          </w:tcPr>
          <w:p w14:paraId="7A96E880" w14:textId="16C3ED1F" w:rsidR="00E0408C" w:rsidRDefault="00E0408C" w:rsidP="00797A9C">
            <w:pPr>
              <w:pStyle w:val="ListParagraph"/>
              <w:numPr>
                <w:ilvl w:val="0"/>
                <w:numId w:val="7"/>
              </w:numPr>
            </w:pPr>
          </w:p>
        </w:tc>
      </w:tr>
      <w:tr w:rsidR="00E0408C" w14:paraId="36343B63" w14:textId="77777777" w:rsidTr="002358F5">
        <w:tc>
          <w:tcPr>
            <w:tcW w:w="3325" w:type="dxa"/>
          </w:tcPr>
          <w:p w14:paraId="7DAA5222" w14:textId="77777777" w:rsidR="00E0408C" w:rsidRDefault="00E0408C" w:rsidP="002358F5">
            <w:r>
              <w:t xml:space="preserve">Dakota </w:t>
            </w:r>
          </w:p>
          <w:p w14:paraId="0A1DD97E" w14:textId="77777777" w:rsidR="00E0408C" w:rsidRDefault="00E0408C" w:rsidP="002358F5">
            <w:r>
              <w:t>(Affordable Housing Coalition)</w:t>
            </w:r>
          </w:p>
        </w:tc>
        <w:tc>
          <w:tcPr>
            <w:tcW w:w="3149" w:type="dxa"/>
          </w:tcPr>
          <w:p w14:paraId="73399970" w14:textId="77777777" w:rsidR="000B53BD" w:rsidRPr="000B53BD" w:rsidRDefault="000B53BD" w:rsidP="000B53BD">
            <w:pPr>
              <w:pStyle w:val="ListParagraph"/>
              <w:numPr>
                <w:ilvl w:val="0"/>
                <w:numId w:val="11"/>
              </w:numPr>
              <w:spacing w:line="256" w:lineRule="auto"/>
              <w:ind w:left="360"/>
              <w:rPr>
                <w:sz w:val="18"/>
                <w:szCs w:val="18"/>
              </w:rPr>
            </w:pPr>
            <w:bookmarkStart w:id="0" w:name="_Hlk73709236"/>
            <w:r w:rsidRPr="000B53BD">
              <w:rPr>
                <w:sz w:val="18"/>
                <w:szCs w:val="18"/>
              </w:rPr>
              <w:t>3 multifamily developments reviewed, all recommended for approval. The Parkway, Burnsville, Burnsville Crossing, and Babcock Crossing, Inver Grove.</w:t>
            </w:r>
          </w:p>
          <w:p w14:paraId="03C0519B" w14:textId="77777777" w:rsidR="000B53BD" w:rsidRPr="000B53BD" w:rsidRDefault="000B53BD" w:rsidP="000B53BD">
            <w:pPr>
              <w:pStyle w:val="ListParagraph"/>
              <w:numPr>
                <w:ilvl w:val="0"/>
                <w:numId w:val="12"/>
              </w:numPr>
              <w:spacing w:line="256" w:lineRule="auto"/>
              <w:ind w:left="360"/>
              <w:rPr>
                <w:sz w:val="18"/>
                <w:szCs w:val="18"/>
              </w:rPr>
            </w:pPr>
            <w:r w:rsidRPr="000B53BD">
              <w:rPr>
                <w:sz w:val="18"/>
                <w:szCs w:val="18"/>
              </w:rPr>
              <w:t xml:space="preserve">Opened the Zero Balance emergency rental assistance – landlord-initiated program. </w:t>
            </w:r>
          </w:p>
          <w:p w14:paraId="04075ACA" w14:textId="77777777" w:rsidR="000B53BD" w:rsidRPr="000B53BD" w:rsidRDefault="000B53BD" w:rsidP="000B53BD">
            <w:pPr>
              <w:pStyle w:val="ListParagraph"/>
              <w:numPr>
                <w:ilvl w:val="0"/>
                <w:numId w:val="12"/>
              </w:numPr>
              <w:spacing w:line="256" w:lineRule="auto"/>
              <w:ind w:left="360"/>
              <w:rPr>
                <w:sz w:val="18"/>
                <w:szCs w:val="18"/>
              </w:rPr>
            </w:pPr>
            <w:r w:rsidRPr="000B53BD">
              <w:rPr>
                <w:sz w:val="18"/>
                <w:szCs w:val="18"/>
              </w:rPr>
              <w:t xml:space="preserve">Contracted with 2 community agencies for application support for Zero Balance and </w:t>
            </w:r>
            <w:proofErr w:type="spellStart"/>
            <w:r w:rsidRPr="000B53BD">
              <w:rPr>
                <w:sz w:val="18"/>
                <w:szCs w:val="18"/>
              </w:rPr>
              <w:t>RentHelpMN</w:t>
            </w:r>
            <w:proofErr w:type="spellEnd"/>
            <w:r w:rsidRPr="000B53BD">
              <w:rPr>
                <w:sz w:val="18"/>
                <w:szCs w:val="18"/>
              </w:rPr>
              <w:t xml:space="preserve"> (360 Communities and Restoration for All) and AG Media for culturally specific media and promotions)</w:t>
            </w:r>
          </w:p>
          <w:p w14:paraId="2932A2B1" w14:textId="77777777" w:rsidR="000B53BD" w:rsidRPr="000B53BD" w:rsidRDefault="000B53BD" w:rsidP="000B53BD">
            <w:pPr>
              <w:pStyle w:val="ListParagraph"/>
              <w:numPr>
                <w:ilvl w:val="0"/>
                <w:numId w:val="12"/>
              </w:numPr>
              <w:spacing w:line="256" w:lineRule="auto"/>
              <w:ind w:left="360"/>
              <w:rPr>
                <w:sz w:val="18"/>
                <w:szCs w:val="18"/>
              </w:rPr>
            </w:pPr>
            <w:r w:rsidRPr="000B53BD">
              <w:rPr>
                <w:sz w:val="18"/>
                <w:szCs w:val="18"/>
              </w:rPr>
              <w:lastRenderedPageBreak/>
              <w:t xml:space="preserve">CDA accepting 50 emergency rental assistance vouchers, Dakota County will provide housing search assistance and </w:t>
            </w:r>
            <w:proofErr w:type="gramStart"/>
            <w:r w:rsidRPr="000B53BD">
              <w:rPr>
                <w:sz w:val="18"/>
                <w:szCs w:val="18"/>
              </w:rPr>
              <w:t>services</w:t>
            </w:r>
            <w:proofErr w:type="gramEnd"/>
          </w:p>
          <w:p w14:paraId="169839B1" w14:textId="77777777" w:rsidR="000B53BD" w:rsidRPr="000B53BD" w:rsidRDefault="000B53BD" w:rsidP="000B53BD">
            <w:pPr>
              <w:pStyle w:val="ListParagraph"/>
              <w:numPr>
                <w:ilvl w:val="0"/>
                <w:numId w:val="12"/>
              </w:numPr>
              <w:spacing w:line="256" w:lineRule="auto"/>
              <w:ind w:left="360"/>
              <w:rPr>
                <w:sz w:val="18"/>
                <w:szCs w:val="18"/>
              </w:rPr>
            </w:pPr>
            <w:r w:rsidRPr="000B53BD">
              <w:rPr>
                <w:sz w:val="18"/>
                <w:szCs w:val="18"/>
              </w:rPr>
              <w:t xml:space="preserve">CE priority pool maintenance procedures presentation </w:t>
            </w:r>
            <w:proofErr w:type="gramStart"/>
            <w:r w:rsidRPr="000B53BD">
              <w:rPr>
                <w:sz w:val="18"/>
                <w:szCs w:val="18"/>
              </w:rPr>
              <w:t>provided</w:t>
            </w:r>
            <w:proofErr w:type="gramEnd"/>
            <w:r w:rsidRPr="000B53BD">
              <w:rPr>
                <w:sz w:val="18"/>
                <w:szCs w:val="18"/>
              </w:rPr>
              <w:t xml:space="preserve"> and help requested. Assistance will be through Housing Provider group.</w:t>
            </w:r>
            <w:bookmarkEnd w:id="0"/>
          </w:p>
          <w:p w14:paraId="362D630F" w14:textId="77777777" w:rsidR="00E0408C" w:rsidRDefault="00E0408C" w:rsidP="002358F5"/>
        </w:tc>
        <w:tc>
          <w:tcPr>
            <w:tcW w:w="3238" w:type="dxa"/>
          </w:tcPr>
          <w:p w14:paraId="063DF757" w14:textId="77777777" w:rsidR="00E0408C" w:rsidRDefault="00E0408C" w:rsidP="002358F5"/>
        </w:tc>
        <w:tc>
          <w:tcPr>
            <w:tcW w:w="3238" w:type="dxa"/>
          </w:tcPr>
          <w:p w14:paraId="124683A0" w14:textId="77777777" w:rsidR="00E0408C" w:rsidRDefault="00E0408C" w:rsidP="002358F5"/>
        </w:tc>
      </w:tr>
      <w:tr w:rsidR="00E0408C" w14:paraId="27B4884A" w14:textId="77777777" w:rsidTr="002358F5">
        <w:tc>
          <w:tcPr>
            <w:tcW w:w="3325" w:type="dxa"/>
          </w:tcPr>
          <w:p w14:paraId="0CD70987" w14:textId="77777777" w:rsidR="00E0408C" w:rsidRDefault="00E0408C" w:rsidP="002358F5">
            <w:r>
              <w:t xml:space="preserve">Carver/Scott </w:t>
            </w:r>
          </w:p>
          <w:p w14:paraId="30953B3D" w14:textId="77777777" w:rsidR="00E0408C" w:rsidRDefault="00E0408C" w:rsidP="002358F5">
            <w:r>
              <w:t>(Heading Home Scott-Carver)</w:t>
            </w:r>
          </w:p>
        </w:tc>
        <w:tc>
          <w:tcPr>
            <w:tcW w:w="3149" w:type="dxa"/>
          </w:tcPr>
          <w:p w14:paraId="680E59AA" w14:textId="77777777" w:rsidR="00E0408C" w:rsidRDefault="00E0408C" w:rsidP="002358F5"/>
        </w:tc>
        <w:tc>
          <w:tcPr>
            <w:tcW w:w="3238" w:type="dxa"/>
          </w:tcPr>
          <w:p w14:paraId="0992CC0B" w14:textId="77777777" w:rsidR="00E0408C" w:rsidRDefault="00E0408C" w:rsidP="002358F5"/>
        </w:tc>
        <w:tc>
          <w:tcPr>
            <w:tcW w:w="3238" w:type="dxa"/>
          </w:tcPr>
          <w:p w14:paraId="5FAA6A15" w14:textId="77777777" w:rsidR="00E0408C" w:rsidRDefault="00E0408C" w:rsidP="002358F5"/>
        </w:tc>
      </w:tr>
      <w:tr w:rsidR="00E0408C" w14:paraId="595D7B05" w14:textId="77777777" w:rsidTr="002358F5">
        <w:tc>
          <w:tcPr>
            <w:tcW w:w="3325" w:type="dxa"/>
          </w:tcPr>
          <w:p w14:paraId="53DD3E7F" w14:textId="77777777" w:rsidR="00E0408C" w:rsidRDefault="00E0408C" w:rsidP="002358F5">
            <w:r>
              <w:t xml:space="preserve">Washington </w:t>
            </w:r>
          </w:p>
          <w:p w14:paraId="69B37024" w14:textId="77777777" w:rsidR="00E0408C" w:rsidRDefault="00E0408C" w:rsidP="002358F5">
            <w:r>
              <w:t>(Heading Home Washington)</w:t>
            </w:r>
          </w:p>
        </w:tc>
        <w:tc>
          <w:tcPr>
            <w:tcW w:w="3149" w:type="dxa"/>
          </w:tcPr>
          <w:p w14:paraId="23E20566" w14:textId="77777777" w:rsidR="00E0408C" w:rsidRDefault="00E0408C" w:rsidP="002358F5"/>
        </w:tc>
        <w:tc>
          <w:tcPr>
            <w:tcW w:w="3238" w:type="dxa"/>
          </w:tcPr>
          <w:p w14:paraId="30F5D83F" w14:textId="77777777" w:rsidR="00E0408C" w:rsidRDefault="00E0408C" w:rsidP="002358F5"/>
        </w:tc>
        <w:tc>
          <w:tcPr>
            <w:tcW w:w="3238" w:type="dxa"/>
          </w:tcPr>
          <w:p w14:paraId="6275B995" w14:textId="77777777" w:rsidR="00E0408C" w:rsidRDefault="00E0408C" w:rsidP="002358F5"/>
        </w:tc>
      </w:tr>
    </w:tbl>
    <w:p w14:paraId="0DFCE08D" w14:textId="77777777" w:rsidR="00E0408C" w:rsidRDefault="00E0408C"/>
    <w:sectPr w:rsidR="00E0408C" w:rsidSect="00613862">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2F04D" w14:textId="77777777" w:rsidR="00494621" w:rsidRDefault="00494621" w:rsidP="00E0408C">
      <w:pPr>
        <w:spacing w:after="0" w:line="240" w:lineRule="auto"/>
      </w:pPr>
      <w:r>
        <w:separator/>
      </w:r>
    </w:p>
  </w:endnote>
  <w:endnote w:type="continuationSeparator" w:id="0">
    <w:p w14:paraId="518AACC5" w14:textId="77777777" w:rsidR="00494621" w:rsidRDefault="00494621" w:rsidP="00E04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AB11" w14:textId="77777777" w:rsidR="001002D2" w:rsidRDefault="00100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3652" w14:textId="77777777" w:rsidR="001002D2" w:rsidRDefault="00100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D7B4" w14:textId="77777777" w:rsidR="001002D2" w:rsidRDefault="00100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56063" w14:textId="77777777" w:rsidR="00494621" w:rsidRDefault="00494621" w:rsidP="00E0408C">
      <w:pPr>
        <w:spacing w:after="0" w:line="240" w:lineRule="auto"/>
      </w:pPr>
      <w:r>
        <w:separator/>
      </w:r>
    </w:p>
  </w:footnote>
  <w:footnote w:type="continuationSeparator" w:id="0">
    <w:p w14:paraId="2853A8A0" w14:textId="77777777" w:rsidR="00494621" w:rsidRDefault="00494621" w:rsidP="00E04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6DE9" w14:textId="77777777" w:rsidR="001002D2" w:rsidRDefault="00100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F6591" w14:textId="17C3BE62" w:rsidR="00E0408C" w:rsidRDefault="00E0408C" w:rsidP="00E0408C">
    <w:pPr>
      <w:pStyle w:val="Heading1"/>
    </w:pPr>
    <w:r>
      <w:t xml:space="preserve">SMAC Community Information </w:t>
    </w:r>
    <w:r w:rsidR="001002D2">
      <w:t>June</w:t>
    </w:r>
    <w:r w:rsidR="00613862">
      <w:t xml:space="preserv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F983" w14:textId="77777777" w:rsidR="001002D2" w:rsidRDefault="00100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889"/>
    <w:multiLevelType w:val="hybridMultilevel"/>
    <w:tmpl w:val="87624B4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3561B0"/>
    <w:multiLevelType w:val="hybridMultilevel"/>
    <w:tmpl w:val="F30E134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21D0604E"/>
    <w:multiLevelType w:val="hybridMultilevel"/>
    <w:tmpl w:val="2DC67E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B9770B"/>
    <w:multiLevelType w:val="hybridMultilevel"/>
    <w:tmpl w:val="35489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0531F0"/>
    <w:multiLevelType w:val="hybridMultilevel"/>
    <w:tmpl w:val="F8744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992E0A"/>
    <w:multiLevelType w:val="hybridMultilevel"/>
    <w:tmpl w:val="08A2A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A55F5A"/>
    <w:multiLevelType w:val="hybridMultilevel"/>
    <w:tmpl w:val="BDCAA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C2F0B08"/>
    <w:multiLevelType w:val="hybridMultilevel"/>
    <w:tmpl w:val="63CE6574"/>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 w15:restartNumberingAfterBreak="0">
    <w:nsid w:val="7554789E"/>
    <w:multiLevelType w:val="hybridMultilevel"/>
    <w:tmpl w:val="D696F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3"/>
  </w:num>
  <w:num w:numId="6">
    <w:abstractNumId w:val="4"/>
  </w:num>
  <w:num w:numId="7">
    <w:abstractNumId w:val="8"/>
  </w:num>
  <w:num w:numId="8">
    <w:abstractNumId w:val="5"/>
  </w:num>
  <w:num w:numId="9">
    <w:abstractNumId w:val="6"/>
  </w:num>
  <w:num w:numId="10">
    <w:abstractNumId w:val="8"/>
  </w:num>
  <w:num w:numId="11">
    <w:abstractNumId w:val="1"/>
    <w:lvlOverride w:ilvl="0"/>
    <w:lvlOverride w:ilvl="1"/>
    <w:lvlOverride w:ilvl="2"/>
    <w:lvlOverride w:ilvl="3"/>
    <w:lvlOverride w:ilvl="4"/>
    <w:lvlOverride w:ilvl="5"/>
    <w:lvlOverride w:ilvl="6"/>
    <w:lvlOverride w:ilvl="7"/>
    <w:lvlOverride w:ilvl="8"/>
  </w:num>
  <w:num w:numId="12">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08C"/>
    <w:rsid w:val="000B53BD"/>
    <w:rsid w:val="001002D2"/>
    <w:rsid w:val="001F7B7C"/>
    <w:rsid w:val="003470F9"/>
    <w:rsid w:val="003C77B4"/>
    <w:rsid w:val="00494621"/>
    <w:rsid w:val="004B7BCF"/>
    <w:rsid w:val="004C18D4"/>
    <w:rsid w:val="00500F50"/>
    <w:rsid w:val="0051774B"/>
    <w:rsid w:val="005465B7"/>
    <w:rsid w:val="00613862"/>
    <w:rsid w:val="0061426B"/>
    <w:rsid w:val="00797A9C"/>
    <w:rsid w:val="008C6E07"/>
    <w:rsid w:val="0096539C"/>
    <w:rsid w:val="00B5469B"/>
    <w:rsid w:val="00BA042E"/>
    <w:rsid w:val="00C54338"/>
    <w:rsid w:val="00C85E12"/>
    <w:rsid w:val="00D3238A"/>
    <w:rsid w:val="00E0408C"/>
    <w:rsid w:val="00F32AA1"/>
    <w:rsid w:val="00F507F0"/>
    <w:rsid w:val="00FF2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D94D"/>
  <w15:chartTrackingRefBased/>
  <w15:docId w15:val="{BBB22B52-39F2-469D-A974-ED914BA8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08C"/>
  </w:style>
  <w:style w:type="paragraph" w:styleId="Heading1">
    <w:name w:val="heading 1"/>
    <w:basedOn w:val="Normal"/>
    <w:next w:val="Normal"/>
    <w:link w:val="Heading1Char"/>
    <w:uiPriority w:val="9"/>
    <w:qFormat/>
    <w:rsid w:val="00E040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4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4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08C"/>
  </w:style>
  <w:style w:type="paragraph" w:styleId="Footer">
    <w:name w:val="footer"/>
    <w:basedOn w:val="Normal"/>
    <w:link w:val="FooterChar"/>
    <w:uiPriority w:val="99"/>
    <w:unhideWhenUsed/>
    <w:rsid w:val="00E04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08C"/>
  </w:style>
  <w:style w:type="character" w:customStyle="1" w:styleId="Heading1Char">
    <w:name w:val="Heading 1 Char"/>
    <w:basedOn w:val="DefaultParagraphFont"/>
    <w:link w:val="Heading1"/>
    <w:uiPriority w:val="9"/>
    <w:rsid w:val="00E0408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13862"/>
    <w:pPr>
      <w:ind w:left="720"/>
      <w:contextualSpacing/>
    </w:pPr>
  </w:style>
  <w:style w:type="character" w:customStyle="1" w:styleId="normaltextrun">
    <w:name w:val="normaltextrun"/>
    <w:basedOn w:val="DefaultParagraphFont"/>
    <w:rsid w:val="00797A9C"/>
  </w:style>
  <w:style w:type="character" w:customStyle="1" w:styleId="eop">
    <w:name w:val="eop"/>
    <w:basedOn w:val="DefaultParagraphFont"/>
    <w:rsid w:val="00797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7160">
      <w:bodyDiv w:val="1"/>
      <w:marLeft w:val="0"/>
      <w:marRight w:val="0"/>
      <w:marTop w:val="0"/>
      <w:marBottom w:val="0"/>
      <w:divBdr>
        <w:top w:val="none" w:sz="0" w:space="0" w:color="auto"/>
        <w:left w:val="none" w:sz="0" w:space="0" w:color="auto"/>
        <w:bottom w:val="none" w:sz="0" w:space="0" w:color="auto"/>
        <w:right w:val="none" w:sz="0" w:space="0" w:color="auto"/>
      </w:divBdr>
    </w:div>
    <w:div w:id="144320366">
      <w:bodyDiv w:val="1"/>
      <w:marLeft w:val="0"/>
      <w:marRight w:val="0"/>
      <w:marTop w:val="0"/>
      <w:marBottom w:val="0"/>
      <w:divBdr>
        <w:top w:val="none" w:sz="0" w:space="0" w:color="auto"/>
        <w:left w:val="none" w:sz="0" w:space="0" w:color="auto"/>
        <w:bottom w:val="none" w:sz="0" w:space="0" w:color="auto"/>
        <w:right w:val="none" w:sz="0" w:space="0" w:color="auto"/>
      </w:divBdr>
    </w:div>
    <w:div w:id="1224095921">
      <w:bodyDiv w:val="1"/>
      <w:marLeft w:val="0"/>
      <w:marRight w:val="0"/>
      <w:marTop w:val="0"/>
      <w:marBottom w:val="0"/>
      <w:divBdr>
        <w:top w:val="none" w:sz="0" w:space="0" w:color="auto"/>
        <w:left w:val="none" w:sz="0" w:space="0" w:color="auto"/>
        <w:bottom w:val="none" w:sz="0" w:space="0" w:color="auto"/>
        <w:right w:val="none" w:sz="0" w:space="0" w:color="auto"/>
      </w:divBdr>
    </w:div>
    <w:div w:id="1537695472">
      <w:bodyDiv w:val="1"/>
      <w:marLeft w:val="0"/>
      <w:marRight w:val="0"/>
      <w:marTop w:val="0"/>
      <w:marBottom w:val="0"/>
      <w:divBdr>
        <w:top w:val="none" w:sz="0" w:space="0" w:color="auto"/>
        <w:left w:val="none" w:sz="0" w:space="0" w:color="auto"/>
        <w:bottom w:val="none" w:sz="0" w:space="0" w:color="auto"/>
        <w:right w:val="none" w:sz="0" w:space="0" w:color="auto"/>
      </w:divBdr>
    </w:div>
    <w:div w:id="178561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Guilford</dc:creator>
  <cp:keywords/>
  <dc:description/>
  <cp:lastModifiedBy>Abby Guilford</cp:lastModifiedBy>
  <cp:revision>5</cp:revision>
  <dcterms:created xsi:type="dcterms:W3CDTF">2021-06-07T19:30:00Z</dcterms:created>
  <dcterms:modified xsi:type="dcterms:W3CDTF">2021-06-11T20:52:00Z</dcterms:modified>
</cp:coreProperties>
</file>