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12E944" w14:textId="77777777" w:rsidR="00AC7D17" w:rsidRDefault="00AC7D17" w:rsidP="00AC7D17">
      <w:pPr>
        <w:jc w:val="center"/>
        <w:rPr>
          <w:sz w:val="40"/>
          <w:szCs w:val="40"/>
        </w:rPr>
      </w:pPr>
    </w:p>
    <w:p w14:paraId="2F8BAE45" w14:textId="77777777" w:rsidR="00DF0587" w:rsidRDefault="00DF0587" w:rsidP="00AC7D17">
      <w:pPr>
        <w:jc w:val="center"/>
        <w:rPr>
          <w:sz w:val="40"/>
          <w:szCs w:val="40"/>
        </w:rPr>
      </w:pPr>
    </w:p>
    <w:p w14:paraId="1CA95B5E" w14:textId="77777777" w:rsidR="00AC7D17" w:rsidRPr="00AC7D17" w:rsidRDefault="00AC7D17" w:rsidP="00AC7D17">
      <w:pPr>
        <w:jc w:val="center"/>
        <w:rPr>
          <w:sz w:val="40"/>
          <w:szCs w:val="40"/>
        </w:rPr>
      </w:pPr>
      <w:r w:rsidRPr="00AC7D17">
        <w:rPr>
          <w:sz w:val="40"/>
          <w:szCs w:val="40"/>
        </w:rPr>
        <w:t>Suburban Metro Area Continuum of Care (SMAC)</w:t>
      </w:r>
    </w:p>
    <w:p w14:paraId="2822F7DF" w14:textId="77777777" w:rsidR="00AC7D17" w:rsidRPr="00AC7D17" w:rsidRDefault="00AC7D17" w:rsidP="00AC7D17">
      <w:pPr>
        <w:jc w:val="center"/>
        <w:rPr>
          <w:sz w:val="40"/>
          <w:szCs w:val="40"/>
        </w:rPr>
      </w:pPr>
    </w:p>
    <w:p w14:paraId="608BEDDE" w14:textId="37F671F8" w:rsidR="00AC7D17" w:rsidRPr="00AC7D17" w:rsidRDefault="00AC7D17" w:rsidP="00AC7D17">
      <w:pPr>
        <w:jc w:val="center"/>
        <w:rPr>
          <w:sz w:val="40"/>
          <w:szCs w:val="40"/>
        </w:rPr>
      </w:pPr>
      <w:r w:rsidRPr="00AC7D17">
        <w:rPr>
          <w:sz w:val="40"/>
          <w:szCs w:val="40"/>
        </w:rPr>
        <w:t>HUD Continuum of Care Homeless Assistance Grants</w:t>
      </w:r>
    </w:p>
    <w:p w14:paraId="73313EE7" w14:textId="77777777" w:rsidR="00AC7D17" w:rsidRPr="00AC7D17" w:rsidRDefault="00AC7D17" w:rsidP="00AC7D17">
      <w:pPr>
        <w:jc w:val="center"/>
        <w:rPr>
          <w:sz w:val="40"/>
          <w:szCs w:val="40"/>
        </w:rPr>
      </w:pPr>
    </w:p>
    <w:p w14:paraId="43471B47" w14:textId="77777777" w:rsidR="00AC7D17" w:rsidRPr="00AC7D17" w:rsidRDefault="00AC7D17" w:rsidP="00AC7D17">
      <w:pPr>
        <w:jc w:val="center"/>
        <w:rPr>
          <w:sz w:val="40"/>
          <w:szCs w:val="40"/>
        </w:rPr>
      </w:pPr>
    </w:p>
    <w:p w14:paraId="19EE5A46" w14:textId="0366F3A2" w:rsidR="00AC7D17" w:rsidRPr="00AC7D17" w:rsidRDefault="00AC7D17" w:rsidP="00AC7D17">
      <w:pPr>
        <w:jc w:val="center"/>
        <w:rPr>
          <w:sz w:val="40"/>
          <w:szCs w:val="40"/>
        </w:rPr>
      </w:pPr>
      <w:r w:rsidRPr="00AC7D17">
        <w:rPr>
          <w:sz w:val="40"/>
          <w:szCs w:val="40"/>
        </w:rPr>
        <w:t>20</w:t>
      </w:r>
      <w:r w:rsidR="00A17B4E">
        <w:rPr>
          <w:sz w:val="40"/>
          <w:szCs w:val="40"/>
        </w:rPr>
        <w:t>2</w:t>
      </w:r>
      <w:r w:rsidR="006C230B">
        <w:rPr>
          <w:sz w:val="40"/>
          <w:szCs w:val="40"/>
        </w:rPr>
        <w:t>3</w:t>
      </w:r>
      <w:r w:rsidR="00927732">
        <w:rPr>
          <w:sz w:val="40"/>
          <w:szCs w:val="40"/>
        </w:rPr>
        <w:t xml:space="preserve"> </w:t>
      </w:r>
      <w:r w:rsidRPr="00AC7D17">
        <w:rPr>
          <w:sz w:val="40"/>
          <w:szCs w:val="40"/>
        </w:rPr>
        <w:t>NOF</w:t>
      </w:r>
      <w:r w:rsidR="00A17B4E">
        <w:rPr>
          <w:sz w:val="40"/>
          <w:szCs w:val="40"/>
        </w:rPr>
        <w:t>O</w:t>
      </w:r>
      <w:r w:rsidRPr="00AC7D17">
        <w:rPr>
          <w:sz w:val="40"/>
          <w:szCs w:val="40"/>
        </w:rPr>
        <w:t xml:space="preserve"> Competition</w:t>
      </w:r>
    </w:p>
    <w:p w14:paraId="6809DCFC" w14:textId="77777777" w:rsidR="00AC7D17" w:rsidRPr="00AC7D17" w:rsidRDefault="00AC7D17" w:rsidP="00AC7D17">
      <w:pPr>
        <w:jc w:val="center"/>
        <w:rPr>
          <w:sz w:val="40"/>
          <w:szCs w:val="40"/>
        </w:rPr>
      </w:pPr>
    </w:p>
    <w:p w14:paraId="5D6F9A2B" w14:textId="77777777" w:rsidR="00AC7D17" w:rsidRPr="00AC7D17" w:rsidRDefault="00AC7D17" w:rsidP="00AC7D17">
      <w:pPr>
        <w:jc w:val="center"/>
        <w:rPr>
          <w:sz w:val="40"/>
          <w:szCs w:val="40"/>
        </w:rPr>
      </w:pPr>
    </w:p>
    <w:p w14:paraId="1D7A4FAC" w14:textId="77777777" w:rsidR="00AC7D17" w:rsidRPr="00AC7D17" w:rsidRDefault="00AC7D17" w:rsidP="00AC7D17">
      <w:pPr>
        <w:jc w:val="center"/>
        <w:rPr>
          <w:sz w:val="40"/>
          <w:szCs w:val="40"/>
        </w:rPr>
      </w:pPr>
    </w:p>
    <w:p w14:paraId="784F2A1C" w14:textId="6F86BDAF" w:rsidR="007C14CC" w:rsidRDefault="00AC7D17" w:rsidP="00AC7D17">
      <w:pPr>
        <w:jc w:val="center"/>
        <w:rPr>
          <w:sz w:val="40"/>
          <w:szCs w:val="40"/>
        </w:rPr>
      </w:pPr>
      <w:r w:rsidRPr="00AC7D17">
        <w:rPr>
          <w:sz w:val="40"/>
          <w:szCs w:val="40"/>
        </w:rPr>
        <w:t>20</w:t>
      </w:r>
      <w:r w:rsidR="00A17B4E">
        <w:rPr>
          <w:sz w:val="40"/>
          <w:szCs w:val="40"/>
        </w:rPr>
        <w:t>2</w:t>
      </w:r>
      <w:r w:rsidR="006C230B">
        <w:rPr>
          <w:sz w:val="40"/>
          <w:szCs w:val="40"/>
        </w:rPr>
        <w:t>3</w:t>
      </w:r>
      <w:r w:rsidRPr="00AC7D17">
        <w:rPr>
          <w:sz w:val="40"/>
          <w:szCs w:val="40"/>
        </w:rPr>
        <w:t xml:space="preserve"> Local Materials Packet for Agencies Applying </w:t>
      </w:r>
    </w:p>
    <w:p w14:paraId="100F6FF5" w14:textId="77777777" w:rsidR="00AC7D17" w:rsidRPr="00AC7D17" w:rsidRDefault="00AC7D17" w:rsidP="00AC7D17">
      <w:pPr>
        <w:jc w:val="center"/>
        <w:rPr>
          <w:sz w:val="40"/>
          <w:szCs w:val="40"/>
        </w:rPr>
      </w:pPr>
      <w:r w:rsidRPr="00AC7D17">
        <w:rPr>
          <w:sz w:val="40"/>
          <w:szCs w:val="40"/>
        </w:rPr>
        <w:t xml:space="preserve">for </w:t>
      </w:r>
      <w:r w:rsidR="00041001">
        <w:rPr>
          <w:sz w:val="40"/>
          <w:szCs w:val="40"/>
        </w:rPr>
        <w:t>New</w:t>
      </w:r>
      <w:r w:rsidRPr="00AC7D17">
        <w:rPr>
          <w:sz w:val="40"/>
          <w:szCs w:val="40"/>
        </w:rPr>
        <w:t xml:space="preserve"> Projects</w:t>
      </w:r>
      <w:r w:rsidR="00647291">
        <w:rPr>
          <w:sz w:val="40"/>
          <w:szCs w:val="40"/>
        </w:rPr>
        <w:t xml:space="preserve"> and Expansion Projects</w:t>
      </w:r>
    </w:p>
    <w:p w14:paraId="3B46C02D" w14:textId="77777777" w:rsidR="00AC7D17" w:rsidRPr="00AC7D17" w:rsidRDefault="00AC7D17" w:rsidP="00AC7D17">
      <w:pPr>
        <w:jc w:val="center"/>
        <w:rPr>
          <w:sz w:val="40"/>
          <w:szCs w:val="40"/>
        </w:rPr>
      </w:pPr>
    </w:p>
    <w:p w14:paraId="244764B4" w14:textId="77777777" w:rsidR="00AC7D17" w:rsidRPr="00AC7D17" w:rsidRDefault="00AC7D17" w:rsidP="00AC7D17">
      <w:pPr>
        <w:jc w:val="center"/>
        <w:rPr>
          <w:sz w:val="40"/>
          <w:szCs w:val="40"/>
        </w:rPr>
      </w:pPr>
    </w:p>
    <w:p w14:paraId="61EF0583" w14:textId="56CF4E13" w:rsidR="00AC7D17" w:rsidRDefault="00A17B4E" w:rsidP="00AC7D17">
      <w:pPr>
        <w:jc w:val="center"/>
        <w:rPr>
          <w:sz w:val="40"/>
          <w:szCs w:val="40"/>
        </w:rPr>
      </w:pPr>
      <w:r>
        <w:rPr>
          <w:sz w:val="40"/>
          <w:szCs w:val="40"/>
        </w:rPr>
        <w:t xml:space="preserve">September </w:t>
      </w:r>
      <w:r w:rsidR="00927732">
        <w:rPr>
          <w:sz w:val="40"/>
          <w:szCs w:val="40"/>
        </w:rPr>
        <w:t>202</w:t>
      </w:r>
      <w:r w:rsidR="006C230B">
        <w:rPr>
          <w:sz w:val="40"/>
          <w:szCs w:val="40"/>
        </w:rPr>
        <w:t>3</w:t>
      </w:r>
    </w:p>
    <w:p w14:paraId="29B34E4E" w14:textId="77777777" w:rsidR="00AC7D17" w:rsidRDefault="00AC7D17" w:rsidP="00AC7D17">
      <w:pPr>
        <w:jc w:val="center"/>
        <w:rPr>
          <w:sz w:val="40"/>
          <w:szCs w:val="40"/>
        </w:rPr>
      </w:pPr>
    </w:p>
    <w:p w14:paraId="5ECFC666" w14:textId="5391455A" w:rsidR="004B0765" w:rsidRDefault="004B0765" w:rsidP="00200C4D">
      <w:pPr>
        <w:rPr>
          <w:sz w:val="40"/>
          <w:szCs w:val="40"/>
        </w:rPr>
      </w:pPr>
    </w:p>
    <w:p w14:paraId="071E7C5E" w14:textId="77777777" w:rsidR="00A17B4E" w:rsidRDefault="00A17B4E" w:rsidP="00200C4D">
      <w:pPr>
        <w:rPr>
          <w:sz w:val="40"/>
          <w:szCs w:val="40"/>
        </w:rPr>
      </w:pPr>
    </w:p>
    <w:p w14:paraId="63FB1C81" w14:textId="77777777" w:rsidR="00AC7D17" w:rsidRDefault="00AC7D17" w:rsidP="00C327E4">
      <w:pPr>
        <w:pBdr>
          <w:bottom w:val="single" w:sz="12" w:space="1" w:color="auto"/>
        </w:pBdr>
        <w:jc w:val="center"/>
        <w:rPr>
          <w:sz w:val="32"/>
          <w:szCs w:val="32"/>
        </w:rPr>
      </w:pPr>
      <w:r w:rsidRPr="00C327E4">
        <w:rPr>
          <w:sz w:val="32"/>
          <w:szCs w:val="32"/>
        </w:rPr>
        <w:t>CONTEXT</w:t>
      </w:r>
    </w:p>
    <w:p w14:paraId="33817ED2" w14:textId="6EDB62EB" w:rsidR="00AC7D17" w:rsidRPr="00C327E4" w:rsidRDefault="00AC7D17" w:rsidP="00C327E4">
      <w:r w:rsidRPr="00C327E4">
        <w:t>The Continuum of Care (CoC)</w:t>
      </w:r>
      <w:r w:rsidR="007C14CC">
        <w:t xml:space="preserve"> </w:t>
      </w:r>
      <w:r w:rsidRPr="00C327E4">
        <w:t>Program (24 CFR part</w:t>
      </w:r>
      <w:r w:rsidR="007C14CC">
        <w:t xml:space="preserve"> </w:t>
      </w:r>
      <w:r w:rsidRPr="00C327E4">
        <w:t>578) is</w:t>
      </w:r>
      <w:r w:rsidR="007C14CC">
        <w:t xml:space="preserve"> </w:t>
      </w:r>
      <w:r w:rsidRPr="00C327E4">
        <w:t>designed to promote a community-wide commitment to the goal of ending homelessness; to provide funding for efforts by nonprofit providers, States, and local governments to quickly re-house homeless individuals,</w:t>
      </w:r>
      <w:r w:rsidR="004B0765" w:rsidRPr="00C327E4">
        <w:t xml:space="preserve"> </w:t>
      </w:r>
      <w:r w:rsidRPr="00C327E4">
        <w:t>families, persons fleeing domestic violence,</w:t>
      </w:r>
      <w:r w:rsidR="00C327E4">
        <w:t xml:space="preserve"> </w:t>
      </w:r>
      <w:r w:rsidRPr="00C327E4">
        <w:t>and youth, while minimizing the trauma and dislocation caused by homelessness; to promote access to and effective utilization of</w:t>
      </w:r>
      <w:r w:rsidR="004B0765" w:rsidRPr="00C327E4">
        <w:t xml:space="preserve"> m</w:t>
      </w:r>
      <w:r w:rsidRPr="00C327E4">
        <w:t>ainstream programs by persons experiencing</w:t>
      </w:r>
      <w:r w:rsidR="00BB6A43">
        <w:t xml:space="preserve"> </w:t>
      </w:r>
      <w:r w:rsidRPr="00C327E4">
        <w:t>homelessness; and to optimize self-sufficiency among those experiencing</w:t>
      </w:r>
      <w:r w:rsidR="004B0765" w:rsidRPr="00C327E4">
        <w:t xml:space="preserve"> </w:t>
      </w:r>
      <w:r w:rsidRPr="00C327E4">
        <w:t>homelessness.</w:t>
      </w:r>
      <w:r w:rsidRPr="00C327E4">
        <w:tab/>
      </w:r>
    </w:p>
    <w:p w14:paraId="09EAFEBB" w14:textId="1C2D1919" w:rsidR="00AC7D17" w:rsidRPr="00C327E4" w:rsidRDefault="00AC7D17" w:rsidP="00C327E4">
      <w:pPr>
        <w:pStyle w:val="NoSpacing"/>
      </w:pPr>
      <w:r w:rsidRPr="00C327E4">
        <w:t>Each year the</w:t>
      </w:r>
      <w:r w:rsidR="004B0765" w:rsidRPr="00C327E4">
        <w:t xml:space="preserve"> </w:t>
      </w:r>
      <w:r w:rsidRPr="00C327E4">
        <w:t>U.S. Department of Housing and Urban Development (HUD) releases a Notice</w:t>
      </w:r>
      <w:r w:rsidR="004B0765" w:rsidRPr="00C327E4">
        <w:t xml:space="preserve"> </w:t>
      </w:r>
      <w:r w:rsidRPr="00C327E4">
        <w:t xml:space="preserve">of Funding </w:t>
      </w:r>
      <w:r w:rsidR="00A17B4E">
        <w:t>Opportunity</w:t>
      </w:r>
      <w:r w:rsidRPr="00C327E4">
        <w:t xml:space="preserve"> (NOF</w:t>
      </w:r>
      <w:r w:rsidR="00A17B4E">
        <w:t>O</w:t>
      </w:r>
      <w:r w:rsidRPr="00C327E4">
        <w:t>), signifying the beginning of a funding</w:t>
      </w:r>
      <w:r w:rsidR="002031AE" w:rsidRPr="00C327E4">
        <w:t xml:space="preserve"> </w:t>
      </w:r>
      <w:r w:rsidRPr="00C327E4">
        <w:t>competition</w:t>
      </w:r>
      <w:r w:rsidR="002031AE" w:rsidRPr="00C327E4">
        <w:t xml:space="preserve"> </w:t>
      </w:r>
      <w:r w:rsidRPr="00C327E4">
        <w:t>among</w:t>
      </w:r>
      <w:r w:rsidR="004B0765" w:rsidRPr="00C327E4">
        <w:t xml:space="preserve"> </w:t>
      </w:r>
      <w:r w:rsidRPr="00C327E4">
        <w:t>approximately</w:t>
      </w:r>
      <w:r w:rsidR="002031AE" w:rsidRPr="00C327E4">
        <w:t xml:space="preserve"> </w:t>
      </w:r>
      <w:r w:rsidRPr="00C327E4">
        <w:t>450</w:t>
      </w:r>
      <w:r w:rsidR="002031AE" w:rsidRPr="00C327E4">
        <w:t xml:space="preserve"> </w:t>
      </w:r>
      <w:r w:rsidRPr="00C327E4">
        <w:t>Continuums</w:t>
      </w:r>
      <w:r w:rsidR="002031AE" w:rsidRPr="00C327E4">
        <w:t xml:space="preserve"> </w:t>
      </w:r>
      <w:r w:rsidRPr="00C327E4">
        <w:t>of</w:t>
      </w:r>
      <w:r w:rsidR="002031AE" w:rsidRPr="00C327E4">
        <w:t xml:space="preserve"> </w:t>
      </w:r>
      <w:r w:rsidRPr="00C327E4">
        <w:t>Care</w:t>
      </w:r>
      <w:r w:rsidR="002031AE" w:rsidRPr="00C327E4">
        <w:t xml:space="preserve"> </w:t>
      </w:r>
      <w:r w:rsidRPr="00C327E4">
        <w:t>(CoCs),</w:t>
      </w:r>
      <w:r w:rsidR="002031AE" w:rsidRPr="00C327E4">
        <w:t xml:space="preserve"> </w:t>
      </w:r>
      <w:r w:rsidRPr="00C327E4">
        <w:t>the</w:t>
      </w:r>
      <w:r w:rsidR="002031AE" w:rsidRPr="00C327E4">
        <w:t xml:space="preserve"> </w:t>
      </w:r>
      <w:r w:rsidRPr="00C327E4">
        <w:t>community</w:t>
      </w:r>
      <w:r w:rsidR="002031AE" w:rsidRPr="00C327E4">
        <w:t xml:space="preserve"> </w:t>
      </w:r>
      <w:r w:rsidRPr="00C327E4">
        <w:t>stakeholder</w:t>
      </w:r>
      <w:r w:rsidR="002031AE" w:rsidRPr="00C327E4">
        <w:t xml:space="preserve"> </w:t>
      </w:r>
      <w:r w:rsidRPr="00C327E4">
        <w:t>groups</w:t>
      </w:r>
      <w:r w:rsidR="004B0765" w:rsidRPr="00C327E4">
        <w:t xml:space="preserve"> </w:t>
      </w:r>
      <w:r w:rsidRPr="00C327E4">
        <w:t>that</w:t>
      </w:r>
      <w:r w:rsidR="002031AE" w:rsidRPr="00C327E4">
        <w:t xml:space="preserve"> </w:t>
      </w:r>
      <w:r w:rsidRPr="00C327E4">
        <w:t>guide</w:t>
      </w:r>
      <w:r w:rsidR="002031AE" w:rsidRPr="00C327E4">
        <w:t xml:space="preserve"> </w:t>
      </w:r>
      <w:r w:rsidRPr="00C327E4">
        <w:t>local</w:t>
      </w:r>
      <w:r w:rsidR="002031AE" w:rsidRPr="00C327E4">
        <w:t xml:space="preserve"> </w:t>
      </w:r>
      <w:r w:rsidRPr="00C327E4">
        <w:t>responses</w:t>
      </w:r>
      <w:r w:rsidR="002031AE" w:rsidRPr="00C327E4">
        <w:t xml:space="preserve"> </w:t>
      </w:r>
      <w:r w:rsidRPr="00C327E4">
        <w:t>to</w:t>
      </w:r>
      <w:r w:rsidR="004B0765" w:rsidRPr="00C327E4">
        <w:t xml:space="preserve"> </w:t>
      </w:r>
      <w:r w:rsidRPr="00C327E4">
        <w:t>homelessness.</w:t>
      </w:r>
      <w:r w:rsidRPr="00C327E4">
        <w:tab/>
      </w:r>
      <w:r w:rsidRPr="00C327E4">
        <w:tab/>
      </w:r>
    </w:p>
    <w:p w14:paraId="173B0781" w14:textId="77777777" w:rsidR="002031AE" w:rsidRPr="00C327E4" w:rsidRDefault="002031AE" w:rsidP="002031AE">
      <w:pPr>
        <w:pStyle w:val="NoSpacing"/>
      </w:pPr>
    </w:p>
    <w:p w14:paraId="4E9BA2D9" w14:textId="4E361E5F" w:rsidR="00AC7D17" w:rsidRPr="00C327E4" w:rsidRDefault="00AC7D17" w:rsidP="00C327E4">
      <w:pPr>
        <w:pStyle w:val="NoSpacing"/>
      </w:pPr>
      <w:r w:rsidRPr="00C327E4">
        <w:t>The</w:t>
      </w:r>
      <w:r w:rsidR="002031AE" w:rsidRPr="00C327E4">
        <w:t xml:space="preserve"> </w:t>
      </w:r>
      <w:r w:rsidRPr="00C327E4">
        <w:t>FY</w:t>
      </w:r>
      <w:r w:rsidR="007C14CC">
        <w:t xml:space="preserve"> </w:t>
      </w:r>
      <w:r w:rsidR="006F68C7">
        <w:t>2023</w:t>
      </w:r>
      <w:r w:rsidR="002031AE" w:rsidRPr="00C327E4">
        <w:t xml:space="preserve"> </w:t>
      </w:r>
      <w:r w:rsidRPr="00C327E4">
        <w:t>CoC</w:t>
      </w:r>
      <w:r w:rsidR="002031AE" w:rsidRPr="00C327E4">
        <w:t xml:space="preserve"> </w:t>
      </w:r>
      <w:r w:rsidRPr="00C327E4">
        <w:t>Competition</w:t>
      </w:r>
      <w:r w:rsidR="002031AE" w:rsidRPr="00C327E4">
        <w:t xml:space="preserve"> </w:t>
      </w:r>
      <w:r w:rsidRPr="00C327E4">
        <w:t>consolidated</w:t>
      </w:r>
      <w:r w:rsidR="007C14CC">
        <w:t xml:space="preserve"> </w:t>
      </w:r>
      <w:r w:rsidRPr="00C327E4">
        <w:t>application</w:t>
      </w:r>
      <w:r w:rsidR="002031AE" w:rsidRPr="00C327E4">
        <w:t xml:space="preserve"> </w:t>
      </w:r>
      <w:r w:rsidRPr="00C327E4">
        <w:t>responses</w:t>
      </w:r>
      <w:r w:rsidR="002031AE" w:rsidRPr="00C327E4">
        <w:t xml:space="preserve"> </w:t>
      </w:r>
      <w:r w:rsidRPr="00C327E4">
        <w:t>to</w:t>
      </w:r>
      <w:r w:rsidR="002031AE" w:rsidRPr="00C327E4">
        <w:t xml:space="preserve"> </w:t>
      </w:r>
      <w:r w:rsidRPr="00C327E4">
        <w:t>the</w:t>
      </w:r>
      <w:r w:rsidR="002031AE" w:rsidRPr="00C327E4">
        <w:t xml:space="preserve"> </w:t>
      </w:r>
      <w:r w:rsidRPr="00C327E4">
        <w:t>NOFA</w:t>
      </w:r>
      <w:r w:rsidR="002031AE" w:rsidRPr="00C327E4">
        <w:t xml:space="preserve"> </w:t>
      </w:r>
      <w:r w:rsidRPr="00C327E4">
        <w:t>wi</w:t>
      </w:r>
      <w:r w:rsidR="002031AE" w:rsidRPr="00C327E4">
        <w:t xml:space="preserve">ll </w:t>
      </w:r>
      <w:r w:rsidRPr="00C327E4">
        <w:t>consist</w:t>
      </w:r>
      <w:r w:rsidR="004B0765" w:rsidRPr="00C327E4">
        <w:t xml:space="preserve"> </w:t>
      </w:r>
      <w:r w:rsidRPr="00C327E4">
        <w:t>of</w:t>
      </w:r>
      <w:r w:rsidR="002031AE" w:rsidRPr="00C327E4">
        <w:t xml:space="preserve"> </w:t>
      </w:r>
      <w:r w:rsidRPr="00C327E4">
        <w:t>three</w:t>
      </w:r>
      <w:r w:rsidR="002031AE" w:rsidRPr="00C327E4">
        <w:t xml:space="preserve"> </w:t>
      </w:r>
      <w:r w:rsidRPr="00C327E4">
        <w:t>parts:</w:t>
      </w:r>
      <w:r w:rsidR="004B0765" w:rsidRPr="00C327E4">
        <w:t xml:space="preserve"> </w:t>
      </w:r>
      <w:r w:rsidRPr="00C327E4">
        <w:t>the</w:t>
      </w:r>
      <w:r w:rsidR="002031AE" w:rsidRPr="00C327E4">
        <w:t xml:space="preserve"> </w:t>
      </w:r>
      <w:r w:rsidRPr="00C327E4">
        <w:t>CoC</w:t>
      </w:r>
      <w:r w:rsidR="002031AE" w:rsidRPr="00C327E4">
        <w:t xml:space="preserve"> </w:t>
      </w:r>
      <w:r w:rsidRPr="00C327E4">
        <w:t>Application,</w:t>
      </w:r>
      <w:r w:rsidR="002031AE" w:rsidRPr="00C327E4">
        <w:t xml:space="preserve"> </w:t>
      </w:r>
      <w:r w:rsidRPr="00C327E4">
        <w:t>which</w:t>
      </w:r>
      <w:r w:rsidR="002031AE" w:rsidRPr="00C327E4">
        <w:t xml:space="preserve"> </w:t>
      </w:r>
      <w:r w:rsidRPr="00C327E4">
        <w:t>describes</w:t>
      </w:r>
      <w:r w:rsidR="002031AE" w:rsidRPr="00C327E4">
        <w:t xml:space="preserve"> t</w:t>
      </w:r>
      <w:r w:rsidRPr="00C327E4">
        <w:t>he</w:t>
      </w:r>
      <w:r w:rsidR="002031AE" w:rsidRPr="00C327E4">
        <w:t xml:space="preserve"> </w:t>
      </w:r>
      <w:r w:rsidRPr="00C327E4">
        <w:t>CoC</w:t>
      </w:r>
      <w:r w:rsidR="002031AE" w:rsidRPr="00C327E4">
        <w:t xml:space="preserve"> </w:t>
      </w:r>
      <w:r w:rsidRPr="00C327E4">
        <w:t>planning</w:t>
      </w:r>
      <w:r w:rsidR="002031AE" w:rsidRPr="00C327E4">
        <w:t xml:space="preserve"> </w:t>
      </w:r>
      <w:r w:rsidRPr="00C327E4">
        <w:t>bod</w:t>
      </w:r>
      <w:r w:rsidR="002031AE" w:rsidRPr="00C327E4">
        <w:t xml:space="preserve">y </w:t>
      </w:r>
      <w:r w:rsidRPr="00C327E4">
        <w:t>governance</w:t>
      </w:r>
      <w:r w:rsidR="002031AE" w:rsidRPr="00C327E4">
        <w:t xml:space="preserve"> </w:t>
      </w:r>
      <w:r w:rsidRPr="00C327E4">
        <w:t>structure,</w:t>
      </w:r>
      <w:r w:rsidR="002031AE" w:rsidRPr="00C327E4">
        <w:t xml:space="preserve"> </w:t>
      </w:r>
      <w:r w:rsidRPr="00C327E4">
        <w:t>overal</w:t>
      </w:r>
      <w:r w:rsidR="002031AE" w:rsidRPr="00C327E4">
        <w:t xml:space="preserve">l </w:t>
      </w:r>
      <w:r w:rsidRPr="00C327E4">
        <w:t>performance,</w:t>
      </w:r>
      <w:r w:rsidR="002031AE" w:rsidRPr="00C327E4">
        <w:t xml:space="preserve"> </w:t>
      </w:r>
      <w:r w:rsidRPr="00C327E4">
        <w:t>an</w:t>
      </w:r>
      <w:r w:rsidR="002031AE" w:rsidRPr="00C327E4">
        <w:t xml:space="preserve">d </w:t>
      </w:r>
      <w:r w:rsidRPr="00C327E4">
        <w:t>the</w:t>
      </w:r>
      <w:r w:rsidR="002031AE" w:rsidRPr="00C327E4">
        <w:t xml:space="preserve"> </w:t>
      </w:r>
      <w:r w:rsidRPr="00C327E4">
        <w:t>strategic</w:t>
      </w:r>
      <w:r w:rsidR="002031AE" w:rsidRPr="00C327E4">
        <w:t xml:space="preserve"> </w:t>
      </w:r>
      <w:r w:rsidRPr="00C327E4">
        <w:t>planning</w:t>
      </w:r>
      <w:r w:rsidR="002031AE" w:rsidRPr="00C327E4">
        <w:t xml:space="preserve"> </w:t>
      </w:r>
      <w:r w:rsidRPr="00C327E4">
        <w:t>process;</w:t>
      </w:r>
      <w:r w:rsidR="002031AE" w:rsidRPr="00C327E4">
        <w:t xml:space="preserve"> </w:t>
      </w:r>
      <w:r w:rsidRPr="00C327E4">
        <w:t>the</w:t>
      </w:r>
      <w:r w:rsidR="002031AE" w:rsidRPr="00C327E4">
        <w:t xml:space="preserve"> </w:t>
      </w:r>
      <w:r w:rsidRPr="00C327E4">
        <w:t>CoC</w:t>
      </w:r>
      <w:r w:rsidR="002031AE" w:rsidRPr="00C327E4">
        <w:t xml:space="preserve"> </w:t>
      </w:r>
      <w:r w:rsidRPr="00C327E4">
        <w:t>Project</w:t>
      </w:r>
      <w:r w:rsidR="002031AE" w:rsidRPr="00C327E4">
        <w:t xml:space="preserve"> </w:t>
      </w:r>
      <w:r w:rsidRPr="00C327E4">
        <w:t>Listing,</w:t>
      </w:r>
      <w:r w:rsidR="002031AE" w:rsidRPr="00C327E4">
        <w:t xml:space="preserve"> </w:t>
      </w:r>
      <w:r w:rsidRPr="00C327E4">
        <w:t>which</w:t>
      </w:r>
      <w:r w:rsidR="002031AE" w:rsidRPr="00C327E4">
        <w:t xml:space="preserve"> </w:t>
      </w:r>
      <w:r w:rsidRPr="00C327E4">
        <w:t>ranks</w:t>
      </w:r>
      <w:r w:rsidR="002031AE" w:rsidRPr="00C327E4">
        <w:t xml:space="preserve"> </w:t>
      </w:r>
      <w:r w:rsidRPr="00C327E4">
        <w:t>the</w:t>
      </w:r>
      <w:r w:rsidR="002031AE" w:rsidRPr="00C327E4">
        <w:t xml:space="preserve"> </w:t>
      </w:r>
      <w:r w:rsidRPr="00C327E4">
        <w:t>project</w:t>
      </w:r>
      <w:r w:rsidR="002031AE" w:rsidRPr="00C327E4">
        <w:t xml:space="preserve"> </w:t>
      </w:r>
      <w:r w:rsidRPr="00C327E4">
        <w:t>applications</w:t>
      </w:r>
      <w:r w:rsidR="002031AE" w:rsidRPr="00C327E4">
        <w:t xml:space="preserve"> </w:t>
      </w:r>
      <w:r w:rsidRPr="00C327E4">
        <w:t>for</w:t>
      </w:r>
      <w:r w:rsidR="002031AE" w:rsidRPr="00C327E4">
        <w:t xml:space="preserve"> </w:t>
      </w:r>
      <w:r w:rsidRPr="00C327E4">
        <w:t>HUD</w:t>
      </w:r>
      <w:r w:rsidR="002031AE" w:rsidRPr="00C327E4">
        <w:t xml:space="preserve"> </w:t>
      </w:r>
      <w:r w:rsidRPr="00C327E4">
        <w:t>and</w:t>
      </w:r>
      <w:r w:rsidR="002031AE" w:rsidRPr="00C327E4">
        <w:t xml:space="preserve"> </w:t>
      </w:r>
      <w:r w:rsidRPr="00C327E4">
        <w:t>identifies</w:t>
      </w:r>
      <w:r w:rsidR="002031AE" w:rsidRPr="00C327E4">
        <w:t xml:space="preserve"> </w:t>
      </w:r>
      <w:r w:rsidRPr="00C327E4">
        <w:t>any</w:t>
      </w:r>
      <w:r w:rsidR="002031AE" w:rsidRPr="00C327E4">
        <w:t xml:space="preserve"> </w:t>
      </w:r>
      <w:r w:rsidRPr="00C327E4">
        <w:t>rejected</w:t>
      </w:r>
      <w:r w:rsidR="002031AE" w:rsidRPr="00C327E4">
        <w:t xml:space="preserve"> </w:t>
      </w:r>
      <w:r w:rsidRPr="00C327E4">
        <w:t>applications,</w:t>
      </w:r>
      <w:r w:rsidR="002031AE" w:rsidRPr="00C327E4">
        <w:t xml:space="preserve"> </w:t>
      </w:r>
      <w:r w:rsidRPr="00C327E4">
        <w:t>showing</w:t>
      </w:r>
      <w:r w:rsidR="002031AE" w:rsidRPr="00C327E4">
        <w:t xml:space="preserve"> </w:t>
      </w:r>
      <w:r w:rsidRPr="00C327E4">
        <w:t>the</w:t>
      </w:r>
      <w:r w:rsidR="002031AE" w:rsidRPr="00C327E4">
        <w:t xml:space="preserve"> </w:t>
      </w:r>
      <w:r w:rsidRPr="00C327E4">
        <w:t>CoC’s</w:t>
      </w:r>
      <w:r w:rsidR="002031AE" w:rsidRPr="00C327E4">
        <w:t xml:space="preserve"> </w:t>
      </w:r>
      <w:r w:rsidRPr="00C327E4">
        <w:t>priorities</w:t>
      </w:r>
      <w:r w:rsidR="002031AE" w:rsidRPr="00C327E4">
        <w:t xml:space="preserve"> </w:t>
      </w:r>
      <w:r w:rsidRPr="00C327E4">
        <w:t>for</w:t>
      </w:r>
      <w:r w:rsidR="002031AE" w:rsidRPr="00C327E4">
        <w:t xml:space="preserve"> </w:t>
      </w:r>
      <w:r w:rsidRPr="00C327E4">
        <w:t>funding;</w:t>
      </w:r>
      <w:r w:rsidR="002031AE" w:rsidRPr="00C327E4">
        <w:t xml:space="preserve"> </w:t>
      </w:r>
      <w:r w:rsidRPr="00C327E4">
        <w:t>and</w:t>
      </w:r>
      <w:r w:rsidR="002031AE" w:rsidRPr="00C327E4">
        <w:t xml:space="preserve"> </w:t>
      </w:r>
      <w:proofErr w:type="gramStart"/>
      <w:r w:rsidRPr="00C327E4">
        <w:t>a</w:t>
      </w:r>
      <w:r w:rsidR="002031AE" w:rsidRPr="00C327E4">
        <w:t xml:space="preserve"> </w:t>
      </w:r>
      <w:r w:rsidRPr="00C327E4">
        <w:t>number</w:t>
      </w:r>
      <w:r w:rsidR="002031AE" w:rsidRPr="00C327E4">
        <w:t xml:space="preserve"> </w:t>
      </w:r>
      <w:r w:rsidRPr="00C327E4">
        <w:t>of</w:t>
      </w:r>
      <w:proofErr w:type="gramEnd"/>
      <w:r w:rsidR="002031AE" w:rsidRPr="00C327E4">
        <w:t xml:space="preserve"> </w:t>
      </w:r>
      <w:r w:rsidRPr="00C327E4">
        <w:t>Project</w:t>
      </w:r>
      <w:r w:rsidR="002031AE" w:rsidRPr="00C327E4">
        <w:t xml:space="preserve"> </w:t>
      </w:r>
      <w:r w:rsidRPr="00C327E4">
        <w:t>Applications,</w:t>
      </w:r>
      <w:r w:rsidR="002031AE" w:rsidRPr="00C327E4">
        <w:t xml:space="preserve"> </w:t>
      </w:r>
      <w:r w:rsidRPr="00C327E4">
        <w:t>each</w:t>
      </w:r>
      <w:r w:rsidR="002031AE" w:rsidRPr="00C327E4">
        <w:t xml:space="preserve"> </w:t>
      </w:r>
      <w:r w:rsidRPr="00C327E4">
        <w:t>of</w:t>
      </w:r>
      <w:r w:rsidR="002031AE" w:rsidRPr="00C327E4">
        <w:t xml:space="preserve"> </w:t>
      </w:r>
      <w:r w:rsidRPr="00C327E4">
        <w:t>which</w:t>
      </w:r>
      <w:r w:rsidR="002031AE" w:rsidRPr="00C327E4">
        <w:t xml:space="preserve"> </w:t>
      </w:r>
      <w:r w:rsidRPr="00C327E4">
        <w:t>reflects</w:t>
      </w:r>
      <w:r w:rsidR="002031AE" w:rsidRPr="00C327E4">
        <w:t xml:space="preserve"> </w:t>
      </w:r>
      <w:r w:rsidRPr="00C327E4">
        <w:t>one</w:t>
      </w:r>
      <w:r w:rsidR="002031AE" w:rsidRPr="00C327E4">
        <w:t xml:space="preserve"> </w:t>
      </w:r>
      <w:r w:rsidRPr="00C327E4">
        <w:t>project</w:t>
      </w:r>
      <w:r w:rsidR="002031AE" w:rsidRPr="00C327E4">
        <w:t xml:space="preserve"> </w:t>
      </w:r>
      <w:r w:rsidRPr="00C327E4">
        <w:t>seeking</w:t>
      </w:r>
      <w:r w:rsidR="002031AE" w:rsidRPr="00C327E4">
        <w:t xml:space="preserve"> </w:t>
      </w:r>
      <w:r w:rsidRPr="00C327E4">
        <w:t>funding.</w:t>
      </w:r>
      <w:r w:rsidRPr="00C327E4">
        <w:tab/>
      </w:r>
    </w:p>
    <w:p w14:paraId="43C34782" w14:textId="77777777" w:rsidR="002031AE" w:rsidRPr="00C327E4" w:rsidRDefault="002031AE" w:rsidP="002031AE">
      <w:pPr>
        <w:pStyle w:val="NoSpacing"/>
        <w:ind w:left="720"/>
      </w:pPr>
    </w:p>
    <w:p w14:paraId="359B168D" w14:textId="77777777" w:rsidR="00AC7D17" w:rsidRPr="00C327E4" w:rsidRDefault="00AC7D17" w:rsidP="00C327E4">
      <w:r w:rsidRPr="00C327E4">
        <w:t>Before</w:t>
      </w:r>
      <w:r w:rsidR="007C14CC">
        <w:t xml:space="preserve"> </w:t>
      </w:r>
      <w:r w:rsidRPr="00C327E4">
        <w:t>the</w:t>
      </w:r>
      <w:r w:rsidR="002031AE" w:rsidRPr="00C327E4">
        <w:t xml:space="preserve"> </w:t>
      </w:r>
      <w:r w:rsidRPr="00C327E4">
        <w:t>application</w:t>
      </w:r>
      <w:r w:rsidR="002031AE" w:rsidRPr="00C327E4">
        <w:t xml:space="preserve"> </w:t>
      </w:r>
      <w:r w:rsidRPr="00C327E4">
        <w:t>is</w:t>
      </w:r>
      <w:r w:rsidR="002031AE" w:rsidRPr="00C327E4">
        <w:t xml:space="preserve"> </w:t>
      </w:r>
      <w:r w:rsidRPr="00C327E4">
        <w:t>submitted</w:t>
      </w:r>
      <w:r w:rsidR="002031AE" w:rsidRPr="00C327E4">
        <w:t xml:space="preserve"> </w:t>
      </w:r>
      <w:r w:rsidRPr="00C327E4">
        <w:t>to</w:t>
      </w:r>
      <w:r w:rsidR="002031AE" w:rsidRPr="00C327E4">
        <w:t xml:space="preserve"> </w:t>
      </w:r>
      <w:r w:rsidRPr="00C327E4">
        <w:t>HUD,</w:t>
      </w:r>
      <w:r w:rsidR="002031AE" w:rsidRPr="00C327E4">
        <w:t xml:space="preserve"> </w:t>
      </w:r>
      <w:r w:rsidRPr="00C327E4">
        <w:t>the</w:t>
      </w:r>
      <w:r w:rsidR="002031AE" w:rsidRPr="00C327E4">
        <w:t xml:space="preserve"> </w:t>
      </w:r>
      <w:r w:rsidRPr="00C327E4">
        <w:t>CoC</w:t>
      </w:r>
      <w:r w:rsidR="002031AE" w:rsidRPr="00C327E4">
        <w:t xml:space="preserve"> </w:t>
      </w:r>
      <w:r w:rsidRPr="00C327E4">
        <w:t>is</w:t>
      </w:r>
      <w:r w:rsidR="002031AE" w:rsidRPr="00C327E4">
        <w:t xml:space="preserve"> </w:t>
      </w:r>
      <w:r w:rsidRPr="00C327E4">
        <w:t>required</w:t>
      </w:r>
      <w:r w:rsidR="002031AE" w:rsidRPr="00C327E4">
        <w:t xml:space="preserve"> </w:t>
      </w:r>
      <w:r w:rsidRPr="00C327E4">
        <w:t>to</w:t>
      </w:r>
      <w:r w:rsidR="002031AE" w:rsidRPr="00C327E4">
        <w:t xml:space="preserve"> </w:t>
      </w:r>
      <w:r w:rsidRPr="00C327E4">
        <w:t>hold</w:t>
      </w:r>
      <w:r w:rsidR="002031AE" w:rsidRPr="00C327E4">
        <w:t xml:space="preserve"> </w:t>
      </w:r>
      <w:r w:rsidRPr="00C327E4">
        <w:t>a</w:t>
      </w:r>
      <w:r w:rsidR="002031AE" w:rsidRPr="00C327E4">
        <w:t xml:space="preserve"> </w:t>
      </w:r>
      <w:r w:rsidRPr="00C327E4">
        <w:t>local</w:t>
      </w:r>
      <w:r w:rsidR="002031AE" w:rsidRPr="00C327E4">
        <w:t xml:space="preserve"> </w:t>
      </w:r>
      <w:r w:rsidRPr="00C327E4">
        <w:t>competition</w:t>
      </w:r>
      <w:r w:rsidR="002031AE" w:rsidRPr="00C327E4">
        <w:t xml:space="preserve"> </w:t>
      </w:r>
      <w:r w:rsidRPr="00C327E4">
        <w:t>to</w:t>
      </w:r>
      <w:r w:rsidR="002031AE" w:rsidRPr="00C327E4">
        <w:t xml:space="preserve"> </w:t>
      </w:r>
      <w:r w:rsidRPr="00C327E4">
        <w:t>determine</w:t>
      </w:r>
      <w:r w:rsidR="002031AE" w:rsidRPr="00C327E4">
        <w:t xml:space="preserve"> </w:t>
      </w:r>
      <w:r w:rsidRPr="00C327E4">
        <w:t>which</w:t>
      </w:r>
      <w:r w:rsidR="002031AE" w:rsidRPr="00C327E4">
        <w:t xml:space="preserve"> </w:t>
      </w:r>
      <w:r w:rsidRPr="00C327E4">
        <w:t>project</w:t>
      </w:r>
      <w:r w:rsidR="002031AE" w:rsidRPr="00C327E4">
        <w:t xml:space="preserve"> </w:t>
      </w:r>
      <w:r w:rsidRPr="00C327E4">
        <w:t>applications</w:t>
      </w:r>
      <w:r w:rsidR="002031AE" w:rsidRPr="00C327E4">
        <w:t xml:space="preserve"> </w:t>
      </w:r>
      <w:r w:rsidRPr="00C327E4">
        <w:t>will</w:t>
      </w:r>
      <w:r w:rsidR="002031AE" w:rsidRPr="00C327E4">
        <w:t xml:space="preserve"> </w:t>
      </w:r>
      <w:r w:rsidRPr="00C327E4">
        <w:t>be</w:t>
      </w:r>
      <w:r w:rsidR="002031AE" w:rsidRPr="00C327E4">
        <w:t xml:space="preserve"> </w:t>
      </w:r>
      <w:r w:rsidRPr="00C327E4">
        <w:t>included</w:t>
      </w:r>
      <w:r w:rsidR="002031AE" w:rsidRPr="00C327E4">
        <w:t xml:space="preserve"> </w:t>
      </w:r>
      <w:r w:rsidRPr="00C327E4">
        <w:t>in</w:t>
      </w:r>
      <w:r w:rsidR="002031AE" w:rsidRPr="00C327E4">
        <w:t xml:space="preserve"> </w:t>
      </w:r>
      <w:r w:rsidRPr="00C327E4">
        <w:t>the</w:t>
      </w:r>
      <w:r w:rsidR="002031AE" w:rsidRPr="00C327E4">
        <w:t xml:space="preserve"> </w:t>
      </w:r>
      <w:r w:rsidRPr="00C327E4">
        <w:t>consolidated</w:t>
      </w:r>
      <w:r w:rsidR="002031AE" w:rsidRPr="00C327E4">
        <w:t xml:space="preserve"> </w:t>
      </w:r>
      <w:r w:rsidRPr="00C327E4">
        <w:t>application,</w:t>
      </w:r>
      <w:r w:rsidR="002031AE" w:rsidRPr="00C327E4">
        <w:t xml:space="preserve"> </w:t>
      </w:r>
      <w:r w:rsidRPr="00C327E4">
        <w:t>along</w:t>
      </w:r>
      <w:r w:rsidR="002031AE" w:rsidRPr="00C327E4">
        <w:t xml:space="preserve"> </w:t>
      </w:r>
      <w:r w:rsidRPr="00C327E4">
        <w:t>with</w:t>
      </w:r>
      <w:r w:rsidR="002031AE" w:rsidRPr="00C327E4">
        <w:t xml:space="preserve"> </w:t>
      </w:r>
      <w:r w:rsidRPr="00C327E4">
        <w:t>their</w:t>
      </w:r>
      <w:r w:rsidR="002031AE" w:rsidRPr="00C327E4">
        <w:t xml:space="preserve"> </w:t>
      </w:r>
      <w:r w:rsidRPr="00C327E4">
        <w:t>relative</w:t>
      </w:r>
      <w:r w:rsidR="002031AE" w:rsidRPr="00C327E4">
        <w:t xml:space="preserve"> </w:t>
      </w:r>
      <w:r w:rsidRPr="00C327E4">
        <w:t>priority.</w:t>
      </w:r>
      <w:r w:rsidR="002031AE" w:rsidRPr="00C327E4">
        <w:t xml:space="preserve"> </w:t>
      </w:r>
      <w:r w:rsidRPr="00C327E4">
        <w:t>The</w:t>
      </w:r>
      <w:r w:rsidR="002031AE" w:rsidRPr="00C327E4">
        <w:t xml:space="preserve"> </w:t>
      </w:r>
      <w:r w:rsidRPr="00C327E4">
        <w:t>results</w:t>
      </w:r>
      <w:r w:rsidR="002031AE" w:rsidRPr="00C327E4">
        <w:t xml:space="preserve"> </w:t>
      </w:r>
      <w:r w:rsidRPr="00C327E4">
        <w:t>of</w:t>
      </w:r>
      <w:r w:rsidR="002031AE" w:rsidRPr="00C327E4">
        <w:t xml:space="preserve"> </w:t>
      </w:r>
      <w:r w:rsidRPr="00C327E4">
        <w:t>the</w:t>
      </w:r>
      <w:r w:rsidR="002031AE" w:rsidRPr="00C327E4">
        <w:t xml:space="preserve"> </w:t>
      </w:r>
      <w:r w:rsidRPr="00C327E4">
        <w:t>loca</w:t>
      </w:r>
      <w:r w:rsidR="002031AE" w:rsidRPr="00C327E4">
        <w:t xml:space="preserve">l </w:t>
      </w:r>
      <w:r w:rsidRPr="00C327E4">
        <w:t>competition</w:t>
      </w:r>
      <w:r w:rsidR="002031AE" w:rsidRPr="00C327E4">
        <w:t xml:space="preserve"> </w:t>
      </w:r>
      <w:r w:rsidRPr="00C327E4">
        <w:t>dictate</w:t>
      </w:r>
      <w:r w:rsidR="002031AE" w:rsidRPr="00C327E4">
        <w:t xml:space="preserve"> </w:t>
      </w:r>
      <w:r w:rsidRPr="00C327E4">
        <w:t>which</w:t>
      </w:r>
      <w:r w:rsidR="002031AE" w:rsidRPr="00C327E4">
        <w:t xml:space="preserve"> </w:t>
      </w:r>
      <w:r w:rsidRPr="00C327E4">
        <w:t>projects</w:t>
      </w:r>
      <w:r w:rsidR="002031AE" w:rsidRPr="00C327E4">
        <w:t xml:space="preserve"> </w:t>
      </w:r>
      <w:r w:rsidRPr="00C327E4">
        <w:t>the</w:t>
      </w:r>
      <w:r w:rsidR="002031AE" w:rsidRPr="00C327E4">
        <w:t xml:space="preserve"> </w:t>
      </w:r>
      <w:r w:rsidRPr="00C327E4">
        <w:t>CoC</w:t>
      </w:r>
      <w:r w:rsidR="002031AE" w:rsidRPr="00C327E4">
        <w:t xml:space="preserve"> </w:t>
      </w:r>
      <w:r w:rsidRPr="00C327E4">
        <w:t>will</w:t>
      </w:r>
      <w:r w:rsidR="002031AE" w:rsidRPr="00C327E4">
        <w:t xml:space="preserve"> </w:t>
      </w:r>
      <w:r w:rsidRPr="00C327E4">
        <w:t>prioritize.</w:t>
      </w:r>
      <w:r w:rsidR="002031AE" w:rsidRPr="00C327E4">
        <w:t xml:space="preserve"> A</w:t>
      </w:r>
      <w:r w:rsidRPr="00C327E4">
        <w:t>s</w:t>
      </w:r>
      <w:r w:rsidR="002031AE" w:rsidRPr="00C327E4">
        <w:t xml:space="preserve"> </w:t>
      </w:r>
      <w:r w:rsidRPr="00C327E4">
        <w:t>a</w:t>
      </w:r>
      <w:r w:rsidR="002031AE" w:rsidRPr="00C327E4">
        <w:t xml:space="preserve"> </w:t>
      </w:r>
      <w:r w:rsidRPr="00C327E4">
        <w:t>project</w:t>
      </w:r>
      <w:r w:rsidR="002031AE" w:rsidRPr="00C327E4">
        <w:t xml:space="preserve"> </w:t>
      </w:r>
      <w:r w:rsidRPr="00C327E4">
        <w:t>applicant,</w:t>
      </w:r>
      <w:r w:rsidR="002031AE" w:rsidRPr="00C327E4">
        <w:t xml:space="preserve"> </w:t>
      </w:r>
      <w:r w:rsidRPr="00C327E4">
        <w:t>you</w:t>
      </w:r>
      <w:r w:rsidR="002031AE" w:rsidRPr="00C327E4">
        <w:t xml:space="preserve"> </w:t>
      </w:r>
      <w:r w:rsidRPr="00C327E4">
        <w:t>must</w:t>
      </w:r>
      <w:r w:rsidR="002031AE" w:rsidRPr="00C327E4">
        <w:t xml:space="preserve"> </w:t>
      </w:r>
      <w:r w:rsidRPr="00C327E4">
        <w:t>participate</w:t>
      </w:r>
      <w:r w:rsidR="002031AE" w:rsidRPr="00C327E4">
        <w:t xml:space="preserve"> </w:t>
      </w:r>
      <w:r w:rsidRPr="00C327E4">
        <w:t>in</w:t>
      </w:r>
      <w:r w:rsidR="002031AE" w:rsidRPr="00C327E4">
        <w:t xml:space="preserve"> </w:t>
      </w:r>
      <w:r w:rsidRPr="00C327E4">
        <w:t>the</w:t>
      </w:r>
      <w:r w:rsidR="002031AE" w:rsidRPr="00C327E4">
        <w:t xml:space="preserve"> </w:t>
      </w:r>
      <w:r w:rsidRPr="00C327E4">
        <w:t>local</w:t>
      </w:r>
      <w:r w:rsidR="002031AE" w:rsidRPr="00C327E4">
        <w:t xml:space="preserve"> </w:t>
      </w:r>
      <w:r w:rsidRPr="00C327E4">
        <w:t>review</w:t>
      </w:r>
      <w:r w:rsidR="002031AE" w:rsidRPr="00C327E4">
        <w:t xml:space="preserve"> </w:t>
      </w:r>
      <w:r w:rsidRPr="00C327E4">
        <w:t>and</w:t>
      </w:r>
      <w:r w:rsidR="002031AE" w:rsidRPr="00C327E4">
        <w:t xml:space="preserve"> </w:t>
      </w:r>
      <w:r w:rsidRPr="00C327E4">
        <w:t>rank</w:t>
      </w:r>
      <w:r w:rsidR="002031AE" w:rsidRPr="00C327E4">
        <w:t xml:space="preserve"> </w:t>
      </w:r>
      <w:r w:rsidRPr="00C327E4">
        <w:t>process</w:t>
      </w:r>
      <w:r w:rsidR="002031AE" w:rsidRPr="00C327E4">
        <w:t xml:space="preserve"> </w:t>
      </w:r>
      <w:r w:rsidRPr="00C327E4">
        <w:t>and</w:t>
      </w:r>
      <w:r w:rsidR="002031AE" w:rsidRPr="00C327E4">
        <w:t xml:space="preserve"> </w:t>
      </w:r>
      <w:r w:rsidRPr="00C327E4">
        <w:t>have</w:t>
      </w:r>
      <w:r w:rsidR="002031AE" w:rsidRPr="00C327E4">
        <w:t xml:space="preserve"> </w:t>
      </w:r>
      <w:r w:rsidRPr="00C327E4">
        <w:t>your</w:t>
      </w:r>
      <w:r w:rsidR="002031AE" w:rsidRPr="00C327E4">
        <w:t xml:space="preserve"> </w:t>
      </w:r>
      <w:r w:rsidRPr="00C327E4">
        <w:t>project</w:t>
      </w:r>
      <w:r w:rsidR="002031AE" w:rsidRPr="00C327E4">
        <w:t xml:space="preserve"> </w:t>
      </w:r>
      <w:r w:rsidRPr="00C327E4">
        <w:t>selected</w:t>
      </w:r>
      <w:r w:rsidR="002031AE" w:rsidRPr="00C327E4">
        <w:t xml:space="preserve"> </w:t>
      </w:r>
      <w:r w:rsidRPr="00C327E4">
        <w:t>for</w:t>
      </w:r>
      <w:r w:rsidR="002031AE" w:rsidRPr="00C327E4">
        <w:t xml:space="preserve"> </w:t>
      </w:r>
      <w:r w:rsidRPr="00C327E4">
        <w:t>submission</w:t>
      </w:r>
      <w:r w:rsidR="002031AE" w:rsidRPr="00C327E4">
        <w:t xml:space="preserve"> </w:t>
      </w:r>
      <w:r w:rsidRPr="00C327E4">
        <w:t>with</w:t>
      </w:r>
      <w:r w:rsidR="002031AE" w:rsidRPr="00C327E4">
        <w:t xml:space="preserve"> </w:t>
      </w:r>
      <w:r w:rsidRPr="00C327E4">
        <w:t>the</w:t>
      </w:r>
      <w:r w:rsidR="002031AE" w:rsidRPr="00C327E4">
        <w:t xml:space="preserve"> </w:t>
      </w:r>
      <w:r w:rsidRPr="00C327E4">
        <w:t>CoC</w:t>
      </w:r>
      <w:r w:rsidR="002031AE" w:rsidRPr="00C327E4">
        <w:t xml:space="preserve"> </w:t>
      </w:r>
      <w:r w:rsidRPr="00C327E4">
        <w:t>consolidated</w:t>
      </w:r>
      <w:r w:rsidR="002031AE" w:rsidRPr="00C327E4">
        <w:t xml:space="preserve"> </w:t>
      </w:r>
      <w:r w:rsidRPr="00C327E4">
        <w:t>application</w:t>
      </w:r>
      <w:r w:rsidR="002031AE" w:rsidRPr="00C327E4">
        <w:t xml:space="preserve"> </w:t>
      </w:r>
      <w:r w:rsidRPr="00C327E4">
        <w:t>in</w:t>
      </w:r>
      <w:r w:rsidR="002031AE" w:rsidRPr="00C327E4">
        <w:t xml:space="preserve"> </w:t>
      </w:r>
      <w:r w:rsidRPr="00C327E4">
        <w:t>the</w:t>
      </w:r>
      <w:r w:rsidR="002031AE" w:rsidRPr="00C327E4">
        <w:t xml:space="preserve"> </w:t>
      </w:r>
      <w:r w:rsidRPr="00C327E4">
        <w:t>national</w:t>
      </w:r>
      <w:r w:rsidR="002031AE" w:rsidRPr="00C327E4">
        <w:t xml:space="preserve"> </w:t>
      </w:r>
      <w:r w:rsidRPr="00C327E4">
        <w:t>competition</w:t>
      </w:r>
      <w:r w:rsidR="002031AE" w:rsidRPr="00C327E4">
        <w:t xml:space="preserve"> </w:t>
      </w:r>
      <w:proofErr w:type="gramStart"/>
      <w:r w:rsidRPr="00C327E4">
        <w:t>in</w:t>
      </w:r>
      <w:r w:rsidR="002031AE" w:rsidRPr="00C327E4">
        <w:t xml:space="preserve"> </w:t>
      </w:r>
      <w:r w:rsidRPr="00C327E4">
        <w:t>order</w:t>
      </w:r>
      <w:r w:rsidR="002031AE" w:rsidRPr="00C327E4">
        <w:t xml:space="preserve"> </w:t>
      </w:r>
      <w:r w:rsidRPr="00C327E4">
        <w:t>to</w:t>
      </w:r>
      <w:proofErr w:type="gramEnd"/>
      <w:r w:rsidR="002031AE" w:rsidRPr="00C327E4">
        <w:t xml:space="preserve"> </w:t>
      </w:r>
      <w:r w:rsidRPr="00C327E4">
        <w:t>be</w:t>
      </w:r>
      <w:r w:rsidR="002031AE" w:rsidRPr="00C327E4">
        <w:t xml:space="preserve"> </w:t>
      </w:r>
      <w:r w:rsidRPr="00C327E4">
        <w:t>eligible</w:t>
      </w:r>
      <w:r w:rsidR="002031AE" w:rsidRPr="00C327E4">
        <w:t xml:space="preserve"> </w:t>
      </w:r>
      <w:r w:rsidRPr="00C327E4">
        <w:t>for</w:t>
      </w:r>
      <w:r w:rsidR="002031AE" w:rsidRPr="00C327E4">
        <w:t xml:space="preserve"> </w:t>
      </w:r>
      <w:r w:rsidRPr="00C327E4">
        <w:t>funding.</w:t>
      </w:r>
      <w:r w:rsidR="002031AE" w:rsidRPr="00C327E4">
        <w:t xml:space="preserve"> </w:t>
      </w:r>
      <w:r w:rsidRPr="00C327E4">
        <w:t>You</w:t>
      </w:r>
      <w:r w:rsidR="002031AE" w:rsidRPr="00C327E4">
        <w:t xml:space="preserve"> </w:t>
      </w:r>
      <w:r w:rsidRPr="00C327E4">
        <w:t>must</w:t>
      </w:r>
      <w:r w:rsidR="002031AE" w:rsidRPr="00C327E4">
        <w:t xml:space="preserve"> </w:t>
      </w:r>
      <w:r w:rsidRPr="00C327E4">
        <w:t>follow</w:t>
      </w:r>
      <w:r w:rsidR="002031AE" w:rsidRPr="00C327E4">
        <w:t xml:space="preserve"> </w:t>
      </w:r>
      <w:r w:rsidRPr="00C327E4">
        <w:t>local</w:t>
      </w:r>
      <w:r w:rsidR="002031AE" w:rsidRPr="00C327E4">
        <w:t xml:space="preserve"> </w:t>
      </w:r>
      <w:r w:rsidRPr="00C327E4">
        <w:t>procedures</w:t>
      </w:r>
      <w:r w:rsidR="002031AE" w:rsidRPr="00C327E4">
        <w:t xml:space="preserve"> </w:t>
      </w:r>
      <w:r w:rsidRPr="00C327E4">
        <w:t>and</w:t>
      </w:r>
      <w:r w:rsidR="002031AE" w:rsidRPr="00C327E4">
        <w:t xml:space="preserve"> </w:t>
      </w:r>
      <w:r w:rsidRPr="00C327E4">
        <w:t>submit</w:t>
      </w:r>
      <w:r w:rsidR="002031AE" w:rsidRPr="00C327E4">
        <w:t xml:space="preserve"> </w:t>
      </w:r>
      <w:r w:rsidRPr="00C327E4">
        <w:t>local</w:t>
      </w:r>
      <w:r w:rsidR="002031AE" w:rsidRPr="00C327E4">
        <w:t xml:space="preserve"> </w:t>
      </w:r>
      <w:r w:rsidRPr="00C327E4">
        <w:t>documents,</w:t>
      </w:r>
      <w:r w:rsidR="002031AE" w:rsidRPr="00C327E4">
        <w:t xml:space="preserve"> </w:t>
      </w:r>
      <w:r w:rsidRPr="00C327E4">
        <w:t>and</w:t>
      </w:r>
      <w:r w:rsidR="002031AE" w:rsidRPr="00C327E4">
        <w:t xml:space="preserve"> </w:t>
      </w:r>
      <w:r w:rsidRPr="00C327E4">
        <w:t>you</w:t>
      </w:r>
      <w:r w:rsidR="002031AE" w:rsidRPr="00C327E4">
        <w:t xml:space="preserve"> </w:t>
      </w:r>
      <w:r w:rsidRPr="00C327E4">
        <w:t>also</w:t>
      </w:r>
      <w:r w:rsidR="004B0765" w:rsidRPr="00C327E4">
        <w:t xml:space="preserve"> </w:t>
      </w:r>
      <w:r w:rsidRPr="00C327E4">
        <w:t>need</w:t>
      </w:r>
      <w:r w:rsidR="002031AE" w:rsidRPr="00C327E4">
        <w:t xml:space="preserve"> </w:t>
      </w:r>
      <w:r w:rsidRPr="00C327E4">
        <w:t>to</w:t>
      </w:r>
      <w:r w:rsidR="002031AE" w:rsidRPr="00C327E4">
        <w:t xml:space="preserve"> </w:t>
      </w:r>
      <w:r w:rsidRPr="00C327E4">
        <w:t>prepare</w:t>
      </w:r>
      <w:r w:rsidR="002031AE" w:rsidRPr="00C327E4">
        <w:t xml:space="preserve"> </w:t>
      </w:r>
      <w:r w:rsidRPr="00C327E4">
        <w:t>for</w:t>
      </w:r>
      <w:r w:rsidR="002031AE" w:rsidRPr="00C327E4">
        <w:t xml:space="preserve"> </w:t>
      </w:r>
      <w:r w:rsidRPr="00C327E4">
        <w:t>the</w:t>
      </w:r>
      <w:r w:rsidR="002031AE" w:rsidRPr="00C327E4">
        <w:t xml:space="preserve"> </w:t>
      </w:r>
      <w:r w:rsidRPr="00C327E4">
        <w:t>HUD</w:t>
      </w:r>
      <w:r w:rsidR="002031AE" w:rsidRPr="00C327E4">
        <w:t xml:space="preserve"> </w:t>
      </w:r>
      <w:r w:rsidRPr="00C327E4">
        <w:t>submission</w:t>
      </w:r>
      <w:r w:rsidR="002031AE" w:rsidRPr="00C327E4">
        <w:t xml:space="preserve"> </w:t>
      </w:r>
      <w:r w:rsidRPr="00C327E4">
        <w:t>of</w:t>
      </w:r>
      <w:r w:rsidR="002031AE" w:rsidRPr="00C327E4">
        <w:t xml:space="preserve"> </w:t>
      </w:r>
      <w:r w:rsidRPr="00C327E4">
        <w:t>the</w:t>
      </w:r>
      <w:r w:rsidR="002031AE" w:rsidRPr="00C327E4">
        <w:t xml:space="preserve"> </w:t>
      </w:r>
      <w:r w:rsidRPr="00C327E4">
        <w:t>project</w:t>
      </w:r>
      <w:r w:rsidR="002031AE" w:rsidRPr="00C327E4">
        <w:t xml:space="preserve"> </w:t>
      </w:r>
      <w:r w:rsidRPr="00C327E4">
        <w:t>application.</w:t>
      </w:r>
      <w:r w:rsidR="002031AE" w:rsidRPr="00C327E4">
        <w:t xml:space="preserve"> </w:t>
      </w:r>
      <w:r w:rsidRPr="00C327E4">
        <w:t>HUD</w:t>
      </w:r>
      <w:r w:rsidR="002031AE" w:rsidRPr="00C327E4">
        <w:t xml:space="preserve"> </w:t>
      </w:r>
      <w:r w:rsidRPr="00C327E4">
        <w:t>requires</w:t>
      </w:r>
      <w:r w:rsidR="002031AE" w:rsidRPr="00C327E4">
        <w:t xml:space="preserve"> </w:t>
      </w:r>
      <w:r w:rsidRPr="00C327E4">
        <w:t>the</w:t>
      </w:r>
      <w:r w:rsidR="002031AE" w:rsidRPr="00C327E4">
        <w:t xml:space="preserve"> </w:t>
      </w:r>
      <w:r w:rsidRPr="00C327E4">
        <w:t>use</w:t>
      </w:r>
      <w:r w:rsidR="002031AE" w:rsidRPr="00C327E4">
        <w:t xml:space="preserve"> </w:t>
      </w:r>
      <w:r w:rsidRPr="00C327E4">
        <w:t>of</w:t>
      </w:r>
      <w:r w:rsidR="002031AE" w:rsidRPr="00C327E4">
        <w:t xml:space="preserve"> </w:t>
      </w:r>
      <w:r w:rsidRPr="00C327E4">
        <w:t>a</w:t>
      </w:r>
      <w:r w:rsidR="004B0765" w:rsidRPr="00C327E4">
        <w:t xml:space="preserve"> </w:t>
      </w:r>
      <w:r w:rsidRPr="00C327E4">
        <w:t>web-based</w:t>
      </w:r>
      <w:r w:rsidR="002031AE" w:rsidRPr="00C327E4">
        <w:t xml:space="preserve"> </w:t>
      </w:r>
      <w:r w:rsidRPr="00C327E4">
        <w:t>application</w:t>
      </w:r>
      <w:r w:rsidR="002031AE" w:rsidRPr="00C327E4">
        <w:t xml:space="preserve"> </w:t>
      </w:r>
      <w:r w:rsidRPr="00C327E4">
        <w:t>and</w:t>
      </w:r>
      <w:r w:rsidR="002031AE" w:rsidRPr="00C327E4">
        <w:t xml:space="preserve"> </w:t>
      </w:r>
      <w:r w:rsidRPr="00C327E4">
        <w:t>grants</w:t>
      </w:r>
      <w:r w:rsidR="002031AE" w:rsidRPr="00C327E4">
        <w:t xml:space="preserve"> </w:t>
      </w:r>
      <w:r w:rsidRPr="00C327E4">
        <w:t>management</w:t>
      </w:r>
      <w:r w:rsidR="004B0765" w:rsidRPr="00C327E4">
        <w:t xml:space="preserve"> </w:t>
      </w:r>
      <w:r w:rsidRPr="00C327E4">
        <w:t>system</w:t>
      </w:r>
      <w:r w:rsidR="004B0765" w:rsidRPr="00C327E4">
        <w:t xml:space="preserve"> </w:t>
      </w:r>
      <w:r w:rsidRPr="00C327E4">
        <w:t>called</w:t>
      </w:r>
      <w:r w:rsidR="002031AE" w:rsidRPr="00C327E4">
        <w:t xml:space="preserve"> </w:t>
      </w:r>
      <w:r w:rsidRPr="00C327E4">
        <w:t>e-snaps.</w:t>
      </w:r>
      <w:r w:rsidRPr="00C327E4">
        <w:tab/>
      </w:r>
      <w:r w:rsidRPr="00C327E4">
        <w:tab/>
      </w:r>
    </w:p>
    <w:p w14:paraId="19BCEE46" w14:textId="77777777" w:rsidR="008B6DDF" w:rsidRPr="00C327E4" w:rsidRDefault="00AC7D17" w:rsidP="00C327E4">
      <w:pPr>
        <w:pStyle w:val="NoSpacing"/>
      </w:pPr>
      <w:r w:rsidRPr="00C327E4">
        <w:t>This</w:t>
      </w:r>
      <w:r w:rsidR="008B6DDF" w:rsidRPr="00C327E4">
        <w:t xml:space="preserve"> </w:t>
      </w:r>
      <w:r w:rsidRPr="00C327E4">
        <w:t>TA</w:t>
      </w:r>
      <w:r w:rsidR="008B6DDF" w:rsidRPr="00C327E4">
        <w:t xml:space="preserve"> </w:t>
      </w:r>
      <w:r w:rsidRPr="00C327E4">
        <w:t>Handbook</w:t>
      </w:r>
      <w:r w:rsidR="008B6DDF" w:rsidRPr="00C327E4">
        <w:t xml:space="preserve"> </w:t>
      </w:r>
      <w:r w:rsidRPr="00C327E4">
        <w:t>contains</w:t>
      </w:r>
      <w:r w:rsidR="008B6DDF" w:rsidRPr="00C327E4">
        <w:t xml:space="preserve"> </w:t>
      </w:r>
      <w:r w:rsidRPr="00C327E4">
        <w:t>information</w:t>
      </w:r>
      <w:r w:rsidR="008B6DDF" w:rsidRPr="00C327E4">
        <w:t xml:space="preserve"> </w:t>
      </w:r>
      <w:r w:rsidRPr="00C327E4">
        <w:t>you</w:t>
      </w:r>
      <w:r w:rsidR="007C14CC">
        <w:t xml:space="preserve"> </w:t>
      </w:r>
      <w:r w:rsidRPr="00C327E4">
        <w:t>need</w:t>
      </w:r>
      <w:r w:rsidR="008B6DDF" w:rsidRPr="00C327E4">
        <w:t xml:space="preserve"> </w:t>
      </w:r>
      <w:r w:rsidRPr="00C327E4">
        <w:t>to</w:t>
      </w:r>
      <w:r w:rsidR="008B6DDF" w:rsidRPr="00C327E4">
        <w:t xml:space="preserve"> </w:t>
      </w:r>
      <w:r w:rsidRPr="00C327E4">
        <w:t>know</w:t>
      </w:r>
      <w:r w:rsidR="004B0765" w:rsidRPr="00C327E4">
        <w:t xml:space="preserve"> </w:t>
      </w:r>
      <w:r w:rsidRPr="00C327E4">
        <w:t>for</w:t>
      </w:r>
      <w:r w:rsidR="008B6DDF" w:rsidRPr="00C327E4">
        <w:t xml:space="preserve"> </w:t>
      </w:r>
      <w:r w:rsidRPr="00C327E4">
        <w:t>the</w:t>
      </w:r>
      <w:r w:rsidR="008B6DDF" w:rsidRPr="00C327E4">
        <w:t xml:space="preserve"> </w:t>
      </w:r>
      <w:r w:rsidRPr="00C327E4">
        <w:t>HUD</w:t>
      </w:r>
      <w:r w:rsidR="008B6DDF" w:rsidRPr="00C327E4">
        <w:t xml:space="preserve"> </w:t>
      </w:r>
      <w:r w:rsidRPr="00C327E4">
        <w:t>process,</w:t>
      </w:r>
      <w:r w:rsidR="008B6DDF" w:rsidRPr="00C327E4">
        <w:t xml:space="preserve"> </w:t>
      </w:r>
      <w:r w:rsidRPr="00C327E4">
        <w:t>an</w:t>
      </w:r>
      <w:r w:rsidR="008B6DDF" w:rsidRPr="00C327E4">
        <w:t xml:space="preserve">d </w:t>
      </w:r>
      <w:r w:rsidRPr="00C327E4">
        <w:t>other</w:t>
      </w:r>
      <w:r w:rsidR="008B6DDF" w:rsidRPr="00C327E4">
        <w:t xml:space="preserve"> </w:t>
      </w:r>
      <w:r w:rsidRPr="00C327E4">
        <w:t>materials</w:t>
      </w:r>
      <w:r w:rsidR="008B6DDF" w:rsidRPr="00C327E4">
        <w:t xml:space="preserve"> </w:t>
      </w:r>
      <w:r w:rsidRPr="00C327E4">
        <w:t>provided</w:t>
      </w:r>
      <w:r w:rsidR="008B6DDF" w:rsidRPr="00C327E4">
        <w:t xml:space="preserve"> </w:t>
      </w:r>
      <w:r w:rsidRPr="00C327E4">
        <w:t>contain</w:t>
      </w:r>
      <w:r w:rsidR="008B6DDF" w:rsidRPr="00C327E4">
        <w:t xml:space="preserve"> </w:t>
      </w:r>
      <w:r w:rsidRPr="00C327E4">
        <w:t>information</w:t>
      </w:r>
      <w:r w:rsidR="008B6DDF" w:rsidRPr="00C327E4">
        <w:t xml:space="preserve"> </w:t>
      </w:r>
      <w:r w:rsidRPr="00C327E4">
        <w:t>about</w:t>
      </w:r>
      <w:r w:rsidR="008B6DDF" w:rsidRPr="00C327E4">
        <w:t xml:space="preserve"> </w:t>
      </w:r>
      <w:r w:rsidRPr="00C327E4">
        <w:t>the</w:t>
      </w:r>
      <w:r w:rsidR="008B6DDF" w:rsidRPr="00C327E4">
        <w:t xml:space="preserve"> </w:t>
      </w:r>
      <w:r w:rsidRPr="00C327E4">
        <w:t>local</w:t>
      </w:r>
      <w:r w:rsidR="008B6DDF" w:rsidRPr="00C327E4">
        <w:t xml:space="preserve"> </w:t>
      </w:r>
      <w:r w:rsidRPr="00C327E4">
        <w:t>process</w:t>
      </w:r>
      <w:r w:rsidR="008B6DDF" w:rsidRPr="00C327E4">
        <w:t xml:space="preserve"> </w:t>
      </w:r>
      <w:r w:rsidRPr="00C327E4">
        <w:t>in</w:t>
      </w:r>
      <w:r w:rsidR="008B6DDF" w:rsidRPr="00C327E4">
        <w:t xml:space="preserve"> </w:t>
      </w:r>
      <w:r w:rsidRPr="00C327E4">
        <w:t>this</w:t>
      </w:r>
      <w:r w:rsidR="008B6DDF" w:rsidRPr="00C327E4">
        <w:t xml:space="preserve"> </w:t>
      </w:r>
      <w:r w:rsidRPr="00C327E4">
        <w:t>community.</w:t>
      </w:r>
      <w:r w:rsidRPr="00C327E4">
        <w:tab/>
      </w:r>
    </w:p>
    <w:p w14:paraId="000DBF1D" w14:textId="77777777" w:rsidR="004B0765" w:rsidRPr="00C327E4" w:rsidRDefault="004B0765" w:rsidP="004B0765">
      <w:pPr>
        <w:pStyle w:val="NoSpacing"/>
      </w:pPr>
    </w:p>
    <w:p w14:paraId="2A695A2F" w14:textId="77777777" w:rsidR="008B6DDF" w:rsidRPr="00C327E4" w:rsidRDefault="00AC7D17" w:rsidP="00C327E4">
      <w:pPr>
        <w:pStyle w:val="NoSpacing"/>
      </w:pPr>
      <w:r w:rsidRPr="00C327E4">
        <w:t>There</w:t>
      </w:r>
      <w:r w:rsidR="008B6DDF" w:rsidRPr="00C327E4">
        <w:t xml:space="preserve"> </w:t>
      </w:r>
      <w:r w:rsidRPr="00C327E4">
        <w:t>are</w:t>
      </w:r>
      <w:r w:rsidR="008B6DDF" w:rsidRPr="00C327E4">
        <w:t xml:space="preserve"> </w:t>
      </w:r>
      <w:r w:rsidRPr="00C327E4">
        <w:t>three</w:t>
      </w:r>
      <w:r w:rsidR="008B6DDF" w:rsidRPr="00C327E4">
        <w:t xml:space="preserve"> </w:t>
      </w:r>
      <w:r w:rsidRPr="00C327E4">
        <w:t>things</w:t>
      </w:r>
      <w:r w:rsidR="008B6DDF" w:rsidRPr="00C327E4">
        <w:t xml:space="preserve"> </w:t>
      </w:r>
      <w:r w:rsidRPr="00C327E4">
        <w:t>to</w:t>
      </w:r>
      <w:r w:rsidR="008B6DDF" w:rsidRPr="00C327E4">
        <w:t xml:space="preserve"> </w:t>
      </w:r>
      <w:r w:rsidRPr="00C327E4">
        <w:t>keep</w:t>
      </w:r>
      <w:r w:rsidR="008B6DDF" w:rsidRPr="00C327E4">
        <w:t xml:space="preserve"> </w:t>
      </w:r>
      <w:r w:rsidRPr="00C327E4">
        <w:t>in</w:t>
      </w:r>
      <w:r w:rsidR="008B6DDF" w:rsidRPr="00C327E4">
        <w:t xml:space="preserve"> </w:t>
      </w:r>
      <w:r w:rsidRPr="00C327E4">
        <w:t>mind</w:t>
      </w:r>
      <w:r w:rsidR="008B6DDF" w:rsidRPr="00C327E4">
        <w:t xml:space="preserve"> </w:t>
      </w:r>
      <w:r w:rsidRPr="00C327E4">
        <w:t>when</w:t>
      </w:r>
      <w:r w:rsidR="008B6DDF" w:rsidRPr="00C327E4">
        <w:t xml:space="preserve"> </w:t>
      </w:r>
      <w:r w:rsidRPr="00C327E4">
        <w:t>preparing</w:t>
      </w:r>
      <w:r w:rsidR="008B6DDF" w:rsidRPr="00C327E4">
        <w:t xml:space="preserve"> </w:t>
      </w:r>
      <w:r w:rsidRPr="00C327E4">
        <w:t>your</w:t>
      </w:r>
      <w:r w:rsidR="008B6DDF" w:rsidRPr="00C327E4">
        <w:t xml:space="preserve"> </w:t>
      </w:r>
      <w:r w:rsidRPr="00C327E4">
        <w:t>application:</w:t>
      </w:r>
    </w:p>
    <w:p w14:paraId="26B57BB8" w14:textId="77777777" w:rsidR="00AC7D17" w:rsidRPr="00C327E4" w:rsidRDefault="008B6DDF" w:rsidP="00C327E4">
      <w:r w:rsidRPr="00C327E4">
        <w:t xml:space="preserve">1. </w:t>
      </w:r>
      <w:r w:rsidR="00AC7D17" w:rsidRPr="00C327E4">
        <w:t>Ensuring</w:t>
      </w:r>
      <w:r w:rsidRPr="00C327E4">
        <w:t xml:space="preserve"> </w:t>
      </w:r>
      <w:r w:rsidR="00AC7D17" w:rsidRPr="00C327E4">
        <w:t>your</w:t>
      </w:r>
      <w:r w:rsidRPr="00C327E4">
        <w:t xml:space="preserve"> </w:t>
      </w:r>
      <w:r w:rsidR="00AC7D17" w:rsidRPr="00C327E4">
        <w:t>application</w:t>
      </w:r>
      <w:r w:rsidRPr="00C327E4">
        <w:t xml:space="preserve"> </w:t>
      </w:r>
      <w:r w:rsidR="00AC7D17" w:rsidRPr="00C327E4">
        <w:t>is</w:t>
      </w:r>
      <w:r w:rsidRPr="00C327E4">
        <w:t xml:space="preserve"> </w:t>
      </w:r>
      <w:r w:rsidR="00AC7D17" w:rsidRPr="00C327E4">
        <w:t>competitive</w:t>
      </w:r>
      <w:r w:rsidRPr="00C327E4">
        <w:t xml:space="preserve"> </w:t>
      </w:r>
      <w:r w:rsidR="00AC7D17" w:rsidRPr="00C327E4">
        <w:t>for</w:t>
      </w:r>
      <w:r w:rsidRPr="00C327E4">
        <w:t xml:space="preserve"> </w:t>
      </w:r>
      <w:r w:rsidR="00AC7D17" w:rsidRPr="00C327E4">
        <w:t>funding</w:t>
      </w:r>
      <w:r w:rsidRPr="00C327E4">
        <w:t xml:space="preserve"> </w:t>
      </w:r>
      <w:r w:rsidR="00AC7D17" w:rsidRPr="00C327E4">
        <w:t>in</w:t>
      </w:r>
      <w:r w:rsidRPr="00C327E4">
        <w:t xml:space="preserve"> </w:t>
      </w:r>
      <w:r w:rsidR="00AC7D17" w:rsidRPr="00C327E4">
        <w:t>your</w:t>
      </w:r>
      <w:r w:rsidRPr="00C327E4">
        <w:t xml:space="preserve"> </w:t>
      </w:r>
      <w:r w:rsidR="00AC7D17" w:rsidRPr="00C327E4">
        <w:t>CoC’s</w:t>
      </w:r>
      <w:r w:rsidRPr="00C327E4">
        <w:t xml:space="preserve"> </w:t>
      </w:r>
      <w:r w:rsidR="00AC7D17" w:rsidRPr="00C327E4">
        <w:t>local</w:t>
      </w:r>
      <w:r w:rsidRPr="00C327E4">
        <w:t xml:space="preserve"> c</w:t>
      </w:r>
      <w:r w:rsidR="00AC7D17" w:rsidRPr="00C327E4">
        <w:t>ompetition</w:t>
      </w:r>
      <w:r w:rsidRPr="00C327E4">
        <w:t xml:space="preserve">; </w:t>
      </w:r>
      <w:r w:rsidR="00AC7D17" w:rsidRPr="00C327E4">
        <w:t>2. Ensuring</w:t>
      </w:r>
      <w:r w:rsidRPr="00C327E4">
        <w:t xml:space="preserve"> </w:t>
      </w:r>
      <w:r w:rsidR="00AC7D17" w:rsidRPr="00C327E4">
        <w:t>the</w:t>
      </w:r>
      <w:r w:rsidRPr="00C327E4">
        <w:t xml:space="preserve"> </w:t>
      </w:r>
      <w:r w:rsidR="00AC7D17" w:rsidRPr="00C327E4">
        <w:t>project</w:t>
      </w:r>
      <w:r w:rsidRPr="00C327E4">
        <w:t xml:space="preserve"> </w:t>
      </w:r>
      <w:r w:rsidR="00AC7D17" w:rsidRPr="00C327E4">
        <w:t>you</w:t>
      </w:r>
      <w:r w:rsidRPr="00C327E4">
        <w:t xml:space="preserve"> </w:t>
      </w:r>
      <w:r w:rsidR="00AC7D17" w:rsidRPr="00C327E4">
        <w:t>are</w:t>
      </w:r>
      <w:r w:rsidRPr="00C327E4">
        <w:t xml:space="preserve"> </w:t>
      </w:r>
      <w:r w:rsidR="00AC7D17" w:rsidRPr="00C327E4">
        <w:t>applying</w:t>
      </w:r>
      <w:r w:rsidRPr="00C327E4">
        <w:t xml:space="preserve"> </w:t>
      </w:r>
      <w:r w:rsidR="00AC7D17" w:rsidRPr="00C327E4">
        <w:t>for</w:t>
      </w:r>
      <w:r w:rsidRPr="00C327E4">
        <w:t xml:space="preserve"> </w:t>
      </w:r>
      <w:r w:rsidR="00AC7D17" w:rsidRPr="00C327E4">
        <w:t>is</w:t>
      </w:r>
      <w:r w:rsidRPr="00C327E4">
        <w:t xml:space="preserve"> </w:t>
      </w:r>
      <w:r w:rsidR="00AC7D17" w:rsidRPr="00C327E4">
        <w:t>eligible</w:t>
      </w:r>
      <w:r w:rsidRPr="00C327E4">
        <w:t xml:space="preserve"> </w:t>
      </w:r>
      <w:r w:rsidR="00AC7D17" w:rsidRPr="00C327E4">
        <w:t>for</w:t>
      </w:r>
      <w:r w:rsidRPr="00C327E4">
        <w:t xml:space="preserve"> </w:t>
      </w:r>
      <w:r w:rsidR="00AC7D17" w:rsidRPr="00C327E4">
        <w:t>HUD</w:t>
      </w:r>
      <w:r w:rsidRPr="00C327E4">
        <w:t xml:space="preserve"> </w:t>
      </w:r>
      <w:r w:rsidR="00AC7D17" w:rsidRPr="00C327E4">
        <w:t>funding</w:t>
      </w:r>
      <w:r w:rsidRPr="00C327E4">
        <w:t xml:space="preserve"> </w:t>
      </w:r>
      <w:r w:rsidR="00AC7D17" w:rsidRPr="00C327E4">
        <w:t>and</w:t>
      </w:r>
      <w:r w:rsidRPr="00C327E4">
        <w:t xml:space="preserve"> </w:t>
      </w:r>
      <w:r w:rsidR="00AC7D17" w:rsidRPr="00C327E4">
        <w:t>compliant</w:t>
      </w:r>
      <w:r w:rsidRPr="00C327E4">
        <w:t xml:space="preserve"> w</w:t>
      </w:r>
      <w:r w:rsidR="00AC7D17" w:rsidRPr="00C327E4">
        <w:t>ith</w:t>
      </w:r>
      <w:r w:rsidRPr="00C327E4">
        <w:t xml:space="preserve"> </w:t>
      </w:r>
      <w:r w:rsidR="00AC7D17" w:rsidRPr="00C327E4">
        <w:t>HUD</w:t>
      </w:r>
      <w:r w:rsidRPr="00C327E4">
        <w:t xml:space="preserve"> </w:t>
      </w:r>
      <w:r w:rsidR="00AC7D17" w:rsidRPr="00C327E4">
        <w:t>requirements,</w:t>
      </w:r>
      <w:r w:rsidRPr="00C327E4">
        <w:t xml:space="preserve"> </w:t>
      </w:r>
      <w:proofErr w:type="gramStart"/>
      <w:r w:rsidR="00AC7D17" w:rsidRPr="00C327E4">
        <w:t>and</w:t>
      </w:r>
      <w:r w:rsidRPr="00C327E4">
        <w:t>;</w:t>
      </w:r>
      <w:proofErr w:type="gramEnd"/>
      <w:r w:rsidRPr="00C327E4">
        <w:t xml:space="preserve"> 3</w:t>
      </w:r>
      <w:r w:rsidR="00AC7D17" w:rsidRPr="00C327E4">
        <w:t>. Ensuring</w:t>
      </w:r>
      <w:r w:rsidRPr="00C327E4">
        <w:t xml:space="preserve"> </w:t>
      </w:r>
      <w:r w:rsidR="00AC7D17" w:rsidRPr="00C327E4">
        <w:t>your</w:t>
      </w:r>
      <w:r w:rsidRPr="00C327E4">
        <w:t xml:space="preserve"> </w:t>
      </w:r>
      <w:r w:rsidR="00AC7D17" w:rsidRPr="00C327E4">
        <w:t>application</w:t>
      </w:r>
      <w:r w:rsidRPr="00C327E4">
        <w:t xml:space="preserve"> </w:t>
      </w:r>
      <w:r w:rsidR="00AC7D17" w:rsidRPr="00C327E4">
        <w:t>is</w:t>
      </w:r>
      <w:r w:rsidRPr="00C327E4">
        <w:t xml:space="preserve"> </w:t>
      </w:r>
      <w:r w:rsidR="00AC7D17" w:rsidRPr="00C327E4">
        <w:t>filled</w:t>
      </w:r>
      <w:r w:rsidRPr="00C327E4">
        <w:t xml:space="preserve"> </w:t>
      </w:r>
      <w:r w:rsidR="00AC7D17" w:rsidRPr="00C327E4">
        <w:t>out</w:t>
      </w:r>
      <w:r w:rsidRPr="00C327E4">
        <w:t xml:space="preserve"> </w:t>
      </w:r>
      <w:r w:rsidR="00AC7D17" w:rsidRPr="00C327E4">
        <w:t>correctly.</w:t>
      </w:r>
      <w:r w:rsidR="00AC7D17" w:rsidRPr="00C327E4">
        <w:tab/>
      </w:r>
      <w:r w:rsidR="00AC7D17" w:rsidRPr="00C327E4">
        <w:tab/>
      </w:r>
      <w:r w:rsidR="00AC7D17" w:rsidRPr="00C327E4">
        <w:tab/>
      </w:r>
    </w:p>
    <w:p w14:paraId="1B57FD44" w14:textId="77777777" w:rsidR="00AC7D17" w:rsidRPr="00C327E4" w:rsidRDefault="00AC7D17" w:rsidP="00AC7D17"/>
    <w:p w14:paraId="199BCEC1" w14:textId="77777777" w:rsidR="00AC7D17" w:rsidRDefault="00AC7D17" w:rsidP="00AC7D17"/>
    <w:p w14:paraId="09578CAC" w14:textId="2E6E32F4" w:rsidR="00C327E4" w:rsidRDefault="00C327E4" w:rsidP="00AC7D17"/>
    <w:p w14:paraId="54A58AE3" w14:textId="77777777" w:rsidR="00A17B4E" w:rsidRDefault="00A17B4E" w:rsidP="00AC7D17"/>
    <w:p w14:paraId="7EBC4BB1" w14:textId="77777777" w:rsidR="00C327E4" w:rsidRDefault="00C327E4" w:rsidP="00AC7D17"/>
    <w:p w14:paraId="18B0C1C2" w14:textId="77777777" w:rsidR="00C327E4" w:rsidRDefault="00C327E4" w:rsidP="00AC7D17"/>
    <w:p w14:paraId="5005FE13" w14:textId="77777777" w:rsidR="00C327E4" w:rsidRPr="00C327E4" w:rsidRDefault="00C327E4" w:rsidP="00AC7D17"/>
    <w:p w14:paraId="10F10D80" w14:textId="77777777" w:rsidR="00970A8C" w:rsidRDefault="00970A8C" w:rsidP="00970A8C">
      <w:pPr>
        <w:pBdr>
          <w:bottom w:val="single" w:sz="12" w:space="1" w:color="auto"/>
        </w:pBdr>
        <w:jc w:val="center"/>
        <w:rPr>
          <w:sz w:val="44"/>
          <w:szCs w:val="44"/>
        </w:rPr>
      </w:pPr>
      <w:r w:rsidRPr="00C327E4">
        <w:rPr>
          <w:sz w:val="44"/>
          <w:szCs w:val="44"/>
        </w:rPr>
        <w:t>Table of Contents</w:t>
      </w:r>
    </w:p>
    <w:p w14:paraId="0A9F9EE0" w14:textId="77777777" w:rsidR="00970A8C" w:rsidRPr="00C327E4" w:rsidRDefault="00970A8C" w:rsidP="00970A8C"/>
    <w:p w14:paraId="289EB3C5" w14:textId="3945E9F2" w:rsidR="005E12BA" w:rsidRPr="00C327E4" w:rsidRDefault="005E12BA" w:rsidP="005E12BA">
      <w:r w:rsidRPr="00C327E4">
        <w:t xml:space="preserve">I. </w:t>
      </w:r>
      <w:r w:rsidR="006F68C7">
        <w:t>2023</w:t>
      </w:r>
      <w:r w:rsidRPr="00C327E4">
        <w:t xml:space="preserve"> Funding Overview and Tier 1 and Tier 2 System……………………………………………………………</w:t>
      </w:r>
      <w:r w:rsidR="00715180">
        <w:t>4</w:t>
      </w:r>
    </w:p>
    <w:p w14:paraId="6B634F7A" w14:textId="77777777" w:rsidR="005E12BA" w:rsidRPr="00C327E4" w:rsidRDefault="005E12BA" w:rsidP="005E12BA"/>
    <w:p w14:paraId="5BECDD07" w14:textId="5DF2C52D" w:rsidR="00970A8C" w:rsidRDefault="005E12BA" w:rsidP="00970A8C">
      <w:r w:rsidRPr="00C327E4">
        <w:t xml:space="preserve">II. </w:t>
      </w:r>
      <w:r w:rsidR="00ED3B61">
        <w:t>HUD’s Homeless Policy and Program Priorities</w:t>
      </w:r>
      <w:r w:rsidR="00970A8C" w:rsidRPr="00C327E4">
        <w:t xml:space="preserve">……………………………………………. </w:t>
      </w:r>
      <w:r w:rsidR="00715180">
        <w:t>………………………</w:t>
      </w:r>
      <w:r w:rsidR="00A670F0">
        <w:t>6</w:t>
      </w:r>
      <w:r w:rsidR="00970A8C" w:rsidRPr="00C327E4">
        <w:t xml:space="preserve">  </w:t>
      </w:r>
    </w:p>
    <w:p w14:paraId="28E829FD" w14:textId="77777777" w:rsidR="001C79B4" w:rsidRPr="00C327E4" w:rsidRDefault="001C79B4" w:rsidP="00970A8C"/>
    <w:p w14:paraId="6D9F9D95" w14:textId="77777777" w:rsidR="001C79B4" w:rsidRDefault="00715180" w:rsidP="00970A8C">
      <w:r>
        <w:t>III</w:t>
      </w:r>
      <w:r w:rsidR="001C79B4">
        <w:t>. Threshold to Apply</w:t>
      </w:r>
      <w:r>
        <w:t>……………………………………………………………………………………………………………….8</w:t>
      </w:r>
    </w:p>
    <w:p w14:paraId="1F6D52B2" w14:textId="77777777" w:rsidR="00F8548B" w:rsidRDefault="00970A8C" w:rsidP="00970A8C">
      <w:r w:rsidRPr="00C327E4">
        <w:t xml:space="preserve"> </w:t>
      </w:r>
    </w:p>
    <w:p w14:paraId="400A29FE" w14:textId="77777777" w:rsidR="00F8548B" w:rsidRPr="00C327E4" w:rsidRDefault="00715180" w:rsidP="00F8548B">
      <w:r>
        <w:t>IV</w:t>
      </w:r>
      <w:r w:rsidR="00F8548B" w:rsidRPr="00C327E4">
        <w:t xml:space="preserve">. </w:t>
      </w:r>
      <w:r w:rsidR="001C79B4">
        <w:t>Program Requirements</w:t>
      </w:r>
      <w:r w:rsidR="002F1B01">
        <w:t xml:space="preserve"> and Eligible Costs</w:t>
      </w:r>
      <w:r w:rsidR="00F8548B" w:rsidRPr="00C327E4">
        <w:t>……………………………………………………………</w:t>
      </w:r>
      <w:r>
        <w:t>………………</w:t>
      </w:r>
      <w:r w:rsidR="00F8548B" w:rsidRPr="00C327E4">
        <w:t xml:space="preserve"> 10 </w:t>
      </w:r>
    </w:p>
    <w:p w14:paraId="60F9B902" w14:textId="77777777" w:rsidR="00970A8C" w:rsidRPr="00C327E4" w:rsidRDefault="00970A8C" w:rsidP="00970A8C"/>
    <w:p w14:paraId="673B635B" w14:textId="77777777" w:rsidR="00970A8C" w:rsidRDefault="001C79B4" w:rsidP="00970A8C">
      <w:r>
        <w:t>V</w:t>
      </w:r>
      <w:r w:rsidR="00970A8C" w:rsidRPr="00C327E4">
        <w:t xml:space="preserve">. </w:t>
      </w:r>
      <w:r>
        <w:t>Later Responsibilities</w:t>
      </w:r>
      <w:r w:rsidR="00970A8C" w:rsidRPr="00C327E4">
        <w:t>……………………………………………………………………………………………………………</w:t>
      </w:r>
      <w:r w:rsidR="00715180">
        <w:t>.11</w:t>
      </w:r>
    </w:p>
    <w:p w14:paraId="6C5F8DE5" w14:textId="77777777" w:rsidR="00200C4D" w:rsidRDefault="00200C4D" w:rsidP="00970A8C"/>
    <w:p w14:paraId="28D3835A" w14:textId="2E75431C" w:rsidR="00200C4D" w:rsidRDefault="00200C4D" w:rsidP="00970A8C">
      <w:r>
        <w:t>V</w:t>
      </w:r>
      <w:r w:rsidR="00A14383">
        <w:t>I</w:t>
      </w:r>
      <w:r>
        <w:t xml:space="preserve">. SMAC </w:t>
      </w:r>
      <w:r w:rsidR="006F68C7">
        <w:t>2023</w:t>
      </w:r>
      <w:r>
        <w:t xml:space="preserve"> Timeline for New and Expansion Projects…………………………………………………………</w:t>
      </w:r>
      <w:r w:rsidR="00715180">
        <w:t>.1</w:t>
      </w:r>
      <w:r w:rsidR="00A670F0">
        <w:t>3</w:t>
      </w:r>
    </w:p>
    <w:p w14:paraId="5562E298" w14:textId="77777777" w:rsidR="00200C4D" w:rsidRDefault="00200C4D" w:rsidP="00970A8C"/>
    <w:p w14:paraId="298F86D3" w14:textId="0169DD72" w:rsidR="00970A8C" w:rsidRPr="00C327E4" w:rsidRDefault="00200C4D" w:rsidP="00970A8C">
      <w:r>
        <w:t xml:space="preserve">VII. SMAC </w:t>
      </w:r>
      <w:r w:rsidR="006F68C7">
        <w:t>2023</w:t>
      </w:r>
      <w:r w:rsidR="003E1306">
        <w:t xml:space="preserve"> </w:t>
      </w:r>
      <w:r>
        <w:t>NOFA Policies……………………………………………………………………………………………………</w:t>
      </w:r>
      <w:r w:rsidR="00715180">
        <w:t>1</w:t>
      </w:r>
      <w:r w:rsidR="00A670F0">
        <w:t>4</w:t>
      </w:r>
    </w:p>
    <w:p w14:paraId="591149C0" w14:textId="732959B0" w:rsidR="00970A8C" w:rsidRDefault="00970A8C" w:rsidP="00970A8C">
      <w:pPr>
        <w:tabs>
          <w:tab w:val="left" w:pos="2790"/>
        </w:tabs>
      </w:pPr>
    </w:p>
    <w:p w14:paraId="68C24CCC" w14:textId="77777777" w:rsidR="009B5EF5" w:rsidRDefault="009B5EF5" w:rsidP="00970A8C">
      <w:pPr>
        <w:tabs>
          <w:tab w:val="left" w:pos="2790"/>
        </w:tabs>
      </w:pPr>
    </w:p>
    <w:p w14:paraId="57B5AB12" w14:textId="77777777" w:rsidR="009B5EF5" w:rsidRDefault="009B5EF5" w:rsidP="00970A8C">
      <w:pPr>
        <w:tabs>
          <w:tab w:val="left" w:pos="2790"/>
        </w:tabs>
      </w:pPr>
    </w:p>
    <w:p w14:paraId="51DE54B1" w14:textId="77777777" w:rsidR="009B5EF5" w:rsidRDefault="009B5EF5" w:rsidP="00970A8C">
      <w:pPr>
        <w:tabs>
          <w:tab w:val="left" w:pos="2790"/>
        </w:tabs>
      </w:pPr>
    </w:p>
    <w:p w14:paraId="67C10FEC" w14:textId="77777777" w:rsidR="009B5EF5" w:rsidRDefault="009B5EF5" w:rsidP="00970A8C">
      <w:pPr>
        <w:tabs>
          <w:tab w:val="left" w:pos="2790"/>
        </w:tabs>
      </w:pPr>
    </w:p>
    <w:p w14:paraId="551C4831" w14:textId="77777777" w:rsidR="009B5EF5" w:rsidRDefault="009B5EF5" w:rsidP="00970A8C">
      <w:pPr>
        <w:tabs>
          <w:tab w:val="left" w:pos="2790"/>
        </w:tabs>
      </w:pPr>
    </w:p>
    <w:p w14:paraId="5EDE2613" w14:textId="77777777" w:rsidR="009B5EF5" w:rsidRDefault="009B5EF5" w:rsidP="00970A8C">
      <w:pPr>
        <w:tabs>
          <w:tab w:val="left" w:pos="2790"/>
        </w:tabs>
      </w:pPr>
    </w:p>
    <w:p w14:paraId="1E15FB70" w14:textId="77777777" w:rsidR="009B5EF5" w:rsidRDefault="009B5EF5" w:rsidP="00970A8C">
      <w:pPr>
        <w:tabs>
          <w:tab w:val="left" w:pos="2790"/>
        </w:tabs>
      </w:pPr>
    </w:p>
    <w:p w14:paraId="758E273C" w14:textId="77777777" w:rsidR="009B5EF5" w:rsidRDefault="009B5EF5" w:rsidP="00970A8C">
      <w:pPr>
        <w:tabs>
          <w:tab w:val="left" w:pos="2790"/>
        </w:tabs>
      </w:pPr>
    </w:p>
    <w:p w14:paraId="0D0083F1" w14:textId="77777777" w:rsidR="009B5EF5" w:rsidRDefault="009B5EF5" w:rsidP="00970A8C">
      <w:pPr>
        <w:tabs>
          <w:tab w:val="left" w:pos="2790"/>
        </w:tabs>
      </w:pPr>
    </w:p>
    <w:p w14:paraId="0EA87DD0" w14:textId="77777777" w:rsidR="009B5EF5" w:rsidRDefault="009B5EF5" w:rsidP="00970A8C">
      <w:pPr>
        <w:tabs>
          <w:tab w:val="left" w:pos="2790"/>
        </w:tabs>
      </w:pPr>
    </w:p>
    <w:p w14:paraId="26B418EB" w14:textId="77777777" w:rsidR="009B5EF5" w:rsidRDefault="009B5EF5" w:rsidP="00970A8C">
      <w:pPr>
        <w:tabs>
          <w:tab w:val="left" w:pos="2790"/>
        </w:tabs>
      </w:pPr>
    </w:p>
    <w:p w14:paraId="5D474446" w14:textId="77777777" w:rsidR="009B5EF5" w:rsidRPr="00C327E4" w:rsidRDefault="009B5EF5" w:rsidP="00970A8C">
      <w:pPr>
        <w:tabs>
          <w:tab w:val="left" w:pos="2790"/>
        </w:tabs>
      </w:pPr>
    </w:p>
    <w:p w14:paraId="524DD7C2" w14:textId="0A2E7007" w:rsidR="00624615" w:rsidRPr="00A22F8B" w:rsidRDefault="006F68C7" w:rsidP="00624615">
      <w:pPr>
        <w:pBdr>
          <w:bottom w:val="single" w:sz="12" w:space="1" w:color="auto"/>
        </w:pBdr>
        <w:tabs>
          <w:tab w:val="left" w:pos="2790"/>
        </w:tabs>
        <w:jc w:val="center"/>
        <w:rPr>
          <w:sz w:val="32"/>
          <w:szCs w:val="32"/>
        </w:rPr>
      </w:pPr>
      <w:r>
        <w:rPr>
          <w:sz w:val="32"/>
          <w:szCs w:val="32"/>
        </w:rPr>
        <w:t>2023</w:t>
      </w:r>
      <w:r w:rsidR="00624615" w:rsidRPr="00C327E4">
        <w:rPr>
          <w:sz w:val="32"/>
          <w:szCs w:val="32"/>
        </w:rPr>
        <w:t xml:space="preserve"> NOF</w:t>
      </w:r>
      <w:r w:rsidR="00624615">
        <w:rPr>
          <w:sz w:val="32"/>
          <w:szCs w:val="32"/>
        </w:rPr>
        <w:t xml:space="preserve">O </w:t>
      </w:r>
      <w:r w:rsidR="00624615" w:rsidRPr="00C327E4">
        <w:rPr>
          <w:sz w:val="32"/>
          <w:szCs w:val="32"/>
        </w:rPr>
        <w:t>Funding Overview</w:t>
      </w:r>
    </w:p>
    <w:p w14:paraId="0F5B1AE0" w14:textId="1F385541" w:rsidR="00624615" w:rsidRPr="00C327E4" w:rsidRDefault="00624615" w:rsidP="00624615">
      <w:pPr>
        <w:tabs>
          <w:tab w:val="left" w:pos="2790"/>
        </w:tabs>
      </w:pPr>
      <w:r w:rsidRPr="00C327E4">
        <w:t xml:space="preserve">On </w:t>
      </w:r>
      <w:r w:rsidR="006C230B">
        <w:t>July</w:t>
      </w:r>
      <w:r>
        <w:t xml:space="preserve"> </w:t>
      </w:r>
      <w:r w:rsidR="006C230B">
        <w:t>5</w:t>
      </w:r>
      <w:r>
        <w:t>, 202</w:t>
      </w:r>
      <w:r w:rsidR="006C230B">
        <w:t>3</w:t>
      </w:r>
      <w:r w:rsidRPr="00C327E4">
        <w:t xml:space="preserve">, the U.S. Department of Housing and Urban Development (HUD) released a Notice of Funding </w:t>
      </w:r>
      <w:r>
        <w:t>Opportunity</w:t>
      </w:r>
      <w:r w:rsidRPr="00C327E4">
        <w:t xml:space="preserve"> (NOF</w:t>
      </w:r>
      <w:r>
        <w:t>O</w:t>
      </w:r>
      <w:r w:rsidRPr="00C327E4">
        <w:t>) for the McKinney-Vento Continuum of Care Homeless Assistance Grants for FY 20</w:t>
      </w:r>
      <w:r>
        <w:t>2</w:t>
      </w:r>
      <w:r w:rsidR="006C230B">
        <w:t>3</w:t>
      </w:r>
      <w:r w:rsidRPr="00C327E4">
        <w:t>. In 20</w:t>
      </w:r>
      <w:r>
        <w:t>2</w:t>
      </w:r>
      <w:r w:rsidR="006C230B">
        <w:t>3</w:t>
      </w:r>
      <w:r w:rsidRPr="00C327E4">
        <w:t xml:space="preserve">, the Suburban Metro Area CoC expects to be eligible to apply for approximately </w:t>
      </w:r>
      <w:r>
        <w:t xml:space="preserve">$4,338,144 </w:t>
      </w:r>
      <w:r w:rsidRPr="00C327E4">
        <w:t xml:space="preserve">in funding to support housing and services for homeless households, and approximately </w:t>
      </w:r>
      <w:r w:rsidRPr="00E6299A">
        <w:t>$130,144</w:t>
      </w:r>
      <w:r w:rsidRPr="005F5FB1">
        <w:t xml:space="preserve"> </w:t>
      </w:r>
      <w:r w:rsidRPr="00C327E4">
        <w:t>for CoC Planning Funds.</w:t>
      </w:r>
      <w:r w:rsidRPr="00C327E4">
        <w:tab/>
      </w:r>
      <w:r w:rsidRPr="00C327E4">
        <w:tab/>
      </w:r>
    </w:p>
    <w:p w14:paraId="3522BE58" w14:textId="72DA9755" w:rsidR="00624615" w:rsidRPr="00C327E4" w:rsidRDefault="00BB6A43" w:rsidP="00624615">
      <w:pPr>
        <w:tabs>
          <w:tab w:val="left" w:pos="2790"/>
        </w:tabs>
        <w:rPr>
          <w:b/>
          <w:color w:val="FF0000"/>
        </w:rPr>
      </w:pPr>
      <w:r>
        <w:rPr>
          <w:b/>
        </w:rPr>
        <w:t xml:space="preserve">Anticipated </w:t>
      </w:r>
      <w:r w:rsidR="00624615" w:rsidRPr="00C327E4">
        <w:rPr>
          <w:b/>
        </w:rPr>
        <w:t xml:space="preserve">Annual Renewal Demand Funding: </w:t>
      </w:r>
      <w:r w:rsidR="00624615">
        <w:rPr>
          <w:b/>
        </w:rPr>
        <w:tab/>
      </w:r>
      <w:r w:rsidR="00624615">
        <w:rPr>
          <w:b/>
        </w:rPr>
        <w:tab/>
      </w:r>
      <w:r w:rsidR="00624615">
        <w:rPr>
          <w:b/>
        </w:rPr>
        <w:tab/>
      </w:r>
      <w:r w:rsidR="00624615">
        <w:rPr>
          <w:b/>
        </w:rPr>
        <w:tab/>
      </w:r>
      <w:r w:rsidR="00624615">
        <w:rPr>
          <w:b/>
        </w:rPr>
        <w:tab/>
      </w:r>
      <w:r w:rsidR="00624615">
        <w:rPr>
          <w:b/>
        </w:rPr>
        <w:tab/>
      </w:r>
      <w:r w:rsidR="00624615" w:rsidRPr="00C327E4">
        <w:rPr>
          <w:b/>
        </w:rPr>
        <w:t xml:space="preserve">SMAC </w:t>
      </w:r>
      <w:r w:rsidR="006F68C7">
        <w:rPr>
          <w:b/>
        </w:rPr>
        <w:t>2023</w:t>
      </w:r>
      <w:r w:rsidR="00624615" w:rsidRPr="00C327E4">
        <w:rPr>
          <w:b/>
        </w:rPr>
        <w:t xml:space="preserve"> </w:t>
      </w:r>
      <w:r w:rsidR="00624615" w:rsidRPr="00325DFE">
        <w:rPr>
          <w:b/>
        </w:rPr>
        <w:t>$4,338,144</w:t>
      </w:r>
    </w:p>
    <w:p w14:paraId="10ED0DF0" w14:textId="00EA639A" w:rsidR="00624615" w:rsidRPr="00C327E4" w:rsidRDefault="00624615" w:rsidP="00624615">
      <w:pPr>
        <w:tabs>
          <w:tab w:val="left" w:pos="2790"/>
        </w:tabs>
      </w:pPr>
      <w:r w:rsidRPr="00C327E4">
        <w:t xml:space="preserve">This funding supports the CoC’s existing housing and services. The CoC has the option to continue to support those programs or to reallocate those resources, in whole or in part, to Permanent Supportive Housing, Rapid Rehousing, Joint TH-RRH, HMIS, or Coordinated Entry (SSO) projects. (Details regarding eligible populations </w:t>
      </w:r>
      <w:r w:rsidR="00BB6A43">
        <w:t>follow</w:t>
      </w:r>
      <w:r w:rsidRPr="00C327E4">
        <w:t>.)</w:t>
      </w:r>
      <w:r w:rsidRPr="00C327E4">
        <w:tab/>
      </w:r>
      <w:r w:rsidRPr="00C327E4">
        <w:tab/>
      </w:r>
      <w:r w:rsidRPr="00C327E4">
        <w:tab/>
      </w:r>
    </w:p>
    <w:p w14:paraId="713C6D1A" w14:textId="7CB803FC" w:rsidR="00624615" w:rsidRPr="00C327E4" w:rsidRDefault="00BB6A43" w:rsidP="00624615">
      <w:pPr>
        <w:tabs>
          <w:tab w:val="left" w:pos="2790"/>
        </w:tabs>
        <w:rPr>
          <w:b/>
          <w:color w:val="FF0000"/>
        </w:rPr>
      </w:pPr>
      <w:r>
        <w:rPr>
          <w:b/>
        </w:rPr>
        <w:t xml:space="preserve">Anticipated </w:t>
      </w:r>
      <w:r w:rsidR="00624615" w:rsidRPr="00C327E4">
        <w:rPr>
          <w:b/>
        </w:rPr>
        <w:t xml:space="preserve">Permanent Housing Bonus Funding: </w:t>
      </w:r>
      <w:r w:rsidR="00624615">
        <w:rPr>
          <w:b/>
        </w:rPr>
        <w:tab/>
      </w:r>
      <w:r w:rsidR="00624615">
        <w:rPr>
          <w:b/>
        </w:rPr>
        <w:tab/>
      </w:r>
      <w:r w:rsidR="00624615">
        <w:rPr>
          <w:b/>
        </w:rPr>
        <w:tab/>
      </w:r>
      <w:r w:rsidR="00624615">
        <w:rPr>
          <w:b/>
        </w:rPr>
        <w:tab/>
      </w:r>
      <w:r w:rsidR="00624615">
        <w:rPr>
          <w:b/>
        </w:rPr>
        <w:tab/>
      </w:r>
      <w:r w:rsidR="00624615" w:rsidRPr="00C327E4">
        <w:rPr>
          <w:b/>
        </w:rPr>
        <w:t xml:space="preserve">SMAC </w:t>
      </w:r>
      <w:r w:rsidR="006F68C7">
        <w:rPr>
          <w:b/>
        </w:rPr>
        <w:t>2023</w:t>
      </w:r>
      <w:r w:rsidR="00624615" w:rsidRPr="00C327E4">
        <w:rPr>
          <w:b/>
        </w:rPr>
        <w:t xml:space="preserve"> </w:t>
      </w:r>
      <w:r w:rsidR="00624615" w:rsidRPr="00C82462">
        <w:rPr>
          <w:b/>
        </w:rPr>
        <w:t>$216,907</w:t>
      </w:r>
    </w:p>
    <w:p w14:paraId="36327223" w14:textId="10E8512C" w:rsidR="00624615" w:rsidRDefault="00624615" w:rsidP="00624615">
      <w:pPr>
        <w:tabs>
          <w:tab w:val="left" w:pos="2790"/>
        </w:tabs>
      </w:pPr>
      <w:r w:rsidRPr="00C327E4">
        <w:t xml:space="preserve">This funding supports Permanent Supportive Housing, Rapid Rehousing, or Joint TH-RRH projects. (Details regarding eligible populations </w:t>
      </w:r>
      <w:r w:rsidR="008B0C2B">
        <w:t>follow</w:t>
      </w:r>
      <w:r w:rsidRPr="00C327E4">
        <w:t>.)</w:t>
      </w:r>
      <w:r w:rsidRPr="00C327E4">
        <w:tab/>
      </w:r>
      <w:r w:rsidRPr="00C327E4">
        <w:tab/>
      </w:r>
    </w:p>
    <w:p w14:paraId="48516D93" w14:textId="40A41AB2" w:rsidR="00624615" w:rsidRDefault="00BB6A43" w:rsidP="00624615">
      <w:pPr>
        <w:tabs>
          <w:tab w:val="left" w:pos="2790"/>
        </w:tabs>
        <w:rPr>
          <w:b/>
          <w:color w:val="FF0000"/>
        </w:rPr>
      </w:pPr>
      <w:r>
        <w:rPr>
          <w:b/>
        </w:rPr>
        <w:t xml:space="preserve">Anticipated </w:t>
      </w:r>
      <w:r w:rsidR="00624615" w:rsidRPr="008348F3">
        <w:rPr>
          <w:b/>
        </w:rPr>
        <w:t>Domestic Violence Rapid Rehousing Bonus Funding:</w:t>
      </w:r>
      <w:r w:rsidR="00624615">
        <w:rPr>
          <w:b/>
        </w:rPr>
        <w:t xml:space="preserve"> </w:t>
      </w:r>
      <w:r w:rsidR="00624615">
        <w:rPr>
          <w:b/>
        </w:rPr>
        <w:tab/>
      </w:r>
      <w:r w:rsidR="00624615">
        <w:rPr>
          <w:b/>
        </w:rPr>
        <w:tab/>
      </w:r>
      <w:r w:rsidR="00624615">
        <w:rPr>
          <w:b/>
        </w:rPr>
        <w:tab/>
        <w:t xml:space="preserve">SMAC </w:t>
      </w:r>
      <w:r w:rsidR="006F68C7">
        <w:rPr>
          <w:b/>
        </w:rPr>
        <w:t>2023</w:t>
      </w:r>
      <w:r w:rsidR="00624615">
        <w:rPr>
          <w:b/>
        </w:rPr>
        <w:t xml:space="preserve"> </w:t>
      </w:r>
      <w:r w:rsidR="00624615" w:rsidRPr="001D4E91">
        <w:rPr>
          <w:b/>
        </w:rPr>
        <w:t>$271,316</w:t>
      </w:r>
    </w:p>
    <w:p w14:paraId="76E57777" w14:textId="77777777" w:rsidR="00624615" w:rsidRPr="005F5FB1" w:rsidRDefault="00624615" w:rsidP="00624615">
      <w:pPr>
        <w:tabs>
          <w:tab w:val="left" w:pos="2790"/>
        </w:tabs>
      </w:pPr>
      <w:r w:rsidRPr="002F01A3">
        <w:t>Up to $</w:t>
      </w:r>
      <w:r>
        <w:t>80</w:t>
      </w:r>
      <w:r w:rsidRPr="002F01A3">
        <w:t xml:space="preserve"> million is available for the DV Bonus which will provide housing and services to survivors of domestic violence, dating violence, and stalking.  The DV Bonus funding can support: Rapid Re-housing (PH-RRH) projects, joint TH and PH-RRH component projects as defined in Section II.B.5 of this NOF</w:t>
      </w:r>
      <w:r>
        <w:t>O</w:t>
      </w:r>
      <w:r w:rsidRPr="002F01A3">
        <w:t>, SSO Projects for Coordinated Entry (SSO-CE) to implement policies, procedures, and practices that equip the CoC’s coordinated entry to better meet the needs of survivors of domestic violence, dating violence, sexual assault, or stalking (e.g., to implement policies and procedures that are trauma-informed, client-centered or to better coordinate referrals between the CoC’s coordinated entry and the victim service providers coordinated entry system where they are different).</w:t>
      </w:r>
    </w:p>
    <w:p w14:paraId="5C2512FB" w14:textId="67E7EE38" w:rsidR="00624615" w:rsidRPr="00C327E4" w:rsidRDefault="00F42312" w:rsidP="00624615">
      <w:pPr>
        <w:tabs>
          <w:tab w:val="left" w:pos="2790"/>
        </w:tabs>
        <w:rPr>
          <w:b/>
          <w:color w:val="FF0000"/>
        </w:rPr>
      </w:pPr>
      <w:r>
        <w:rPr>
          <w:b/>
        </w:rPr>
        <w:t xml:space="preserve">Anticipated </w:t>
      </w:r>
      <w:r w:rsidR="00624615" w:rsidRPr="00C327E4">
        <w:rPr>
          <w:b/>
        </w:rPr>
        <w:t>CoC Planning Funds:</w:t>
      </w:r>
      <w:r w:rsidR="00624615" w:rsidRPr="00C327E4">
        <w:t xml:space="preserve"> </w:t>
      </w:r>
      <w:r w:rsidR="00624615">
        <w:tab/>
      </w:r>
      <w:r w:rsidR="00624615">
        <w:tab/>
      </w:r>
      <w:r w:rsidR="00624615">
        <w:tab/>
      </w:r>
      <w:r w:rsidR="00624615">
        <w:tab/>
      </w:r>
      <w:r w:rsidR="00624615">
        <w:tab/>
      </w:r>
      <w:r w:rsidR="00624615">
        <w:tab/>
      </w:r>
      <w:r w:rsidR="00624615">
        <w:tab/>
      </w:r>
      <w:r w:rsidR="00624615" w:rsidRPr="00C327E4">
        <w:rPr>
          <w:b/>
        </w:rPr>
        <w:t xml:space="preserve">SMAC </w:t>
      </w:r>
      <w:r w:rsidR="006F68C7">
        <w:rPr>
          <w:b/>
        </w:rPr>
        <w:t>2023</w:t>
      </w:r>
      <w:r w:rsidR="00624615" w:rsidRPr="00C327E4">
        <w:rPr>
          <w:b/>
        </w:rPr>
        <w:t xml:space="preserve"> </w:t>
      </w:r>
      <w:r w:rsidR="00624615" w:rsidRPr="001D4E91">
        <w:rPr>
          <w:b/>
        </w:rPr>
        <w:t>$130,144</w:t>
      </w:r>
    </w:p>
    <w:p w14:paraId="1555FFAD" w14:textId="77777777" w:rsidR="00624615" w:rsidRDefault="00624615" w:rsidP="00624615">
      <w:pPr>
        <w:tabs>
          <w:tab w:val="left" w:pos="2790"/>
        </w:tabs>
      </w:pPr>
      <w:r w:rsidRPr="00C327E4">
        <w:t xml:space="preserve">This funding supports CoC planning activities, and only the collaborative applicant – </w:t>
      </w:r>
      <w:r>
        <w:t>MESH</w:t>
      </w:r>
      <w:r w:rsidRPr="00C327E4">
        <w:t xml:space="preserve"> – may apply for it. The planning grant will not be ranked in this year’s competition and is not competitive with housing or service projects. </w:t>
      </w:r>
      <w:r w:rsidRPr="00C327E4">
        <w:tab/>
      </w:r>
    </w:p>
    <w:p w14:paraId="1F3E572F" w14:textId="77777777" w:rsidR="00624615" w:rsidRPr="00C327E4" w:rsidRDefault="00624615" w:rsidP="00624615">
      <w:pPr>
        <w:tabs>
          <w:tab w:val="left" w:pos="2790"/>
        </w:tabs>
      </w:pPr>
    </w:p>
    <w:p w14:paraId="35A3568E" w14:textId="77777777" w:rsidR="00624615" w:rsidRPr="009A400C" w:rsidRDefault="00624615" w:rsidP="00624615">
      <w:pPr>
        <w:pBdr>
          <w:bottom w:val="single" w:sz="12" w:space="1" w:color="auto"/>
        </w:pBdr>
        <w:tabs>
          <w:tab w:val="left" w:pos="2790"/>
        </w:tabs>
        <w:jc w:val="center"/>
        <w:rPr>
          <w:sz w:val="32"/>
          <w:szCs w:val="32"/>
        </w:rPr>
      </w:pPr>
      <w:r w:rsidRPr="009A400C">
        <w:rPr>
          <w:sz w:val="32"/>
          <w:szCs w:val="32"/>
        </w:rPr>
        <w:t>Tier 1 and Tier 2 System</w:t>
      </w:r>
    </w:p>
    <w:p w14:paraId="563C4D11" w14:textId="1510AA56" w:rsidR="00624615" w:rsidRPr="009A400C" w:rsidRDefault="00624615" w:rsidP="00624615">
      <w:pPr>
        <w:tabs>
          <w:tab w:val="left" w:pos="2790"/>
        </w:tabs>
        <w:rPr>
          <w:b/>
        </w:rPr>
      </w:pPr>
      <w:r w:rsidRPr="009A400C">
        <w:rPr>
          <w:b/>
        </w:rPr>
        <w:t xml:space="preserve">Anticipated Tier 1 Amount: </w:t>
      </w:r>
      <w:r w:rsidRPr="009A400C">
        <w:rPr>
          <w:b/>
        </w:rPr>
        <w:tab/>
      </w:r>
      <w:r w:rsidRPr="009A400C">
        <w:rPr>
          <w:b/>
        </w:rPr>
        <w:tab/>
        <w:t>$4,03</w:t>
      </w:r>
      <w:r w:rsidR="00686CCD" w:rsidRPr="009A400C">
        <w:rPr>
          <w:b/>
        </w:rPr>
        <w:t>4</w:t>
      </w:r>
      <w:r w:rsidRPr="009A400C">
        <w:rPr>
          <w:b/>
        </w:rPr>
        <w:t>,</w:t>
      </w:r>
      <w:r w:rsidR="00686CCD" w:rsidRPr="009A400C">
        <w:rPr>
          <w:b/>
        </w:rPr>
        <w:t>474</w:t>
      </w:r>
      <w:r w:rsidRPr="009A400C">
        <w:rPr>
          <w:b/>
        </w:rPr>
        <w:tab/>
      </w:r>
    </w:p>
    <w:p w14:paraId="626569F4" w14:textId="6B9333DA" w:rsidR="00624615" w:rsidRPr="00C327E4" w:rsidRDefault="00624615" w:rsidP="00624615">
      <w:pPr>
        <w:tabs>
          <w:tab w:val="left" w:pos="2790"/>
        </w:tabs>
        <w:rPr>
          <w:b/>
          <w:color w:val="FF0000"/>
        </w:rPr>
      </w:pPr>
      <w:r w:rsidRPr="009A400C">
        <w:rPr>
          <w:b/>
        </w:rPr>
        <w:t>Anticipated Tier 2 Amount:</w:t>
      </w:r>
      <w:r w:rsidRPr="00C327E4">
        <w:rPr>
          <w:b/>
        </w:rPr>
        <w:tab/>
      </w:r>
      <w:r w:rsidRPr="00C327E4">
        <w:rPr>
          <w:b/>
        </w:rPr>
        <w:tab/>
      </w:r>
      <w:r w:rsidRPr="00325DFE">
        <w:rPr>
          <w:b/>
        </w:rPr>
        <w:t>$</w:t>
      </w:r>
      <w:r w:rsidR="00686CCD">
        <w:rPr>
          <w:b/>
        </w:rPr>
        <w:t>303,670</w:t>
      </w:r>
    </w:p>
    <w:p w14:paraId="679E9B3E" w14:textId="77777777" w:rsidR="00624615" w:rsidRPr="00C327E4" w:rsidRDefault="00624615" w:rsidP="00624615">
      <w:pPr>
        <w:tabs>
          <w:tab w:val="left" w:pos="2790"/>
        </w:tabs>
      </w:pPr>
      <w:r w:rsidRPr="00C327E4">
        <w:t>As in past years, the funding that CoCs can apply for is divided into tiers, with projects prioritized in Tier 1 being more likely to be funded than projects of lower priority that are placed in Tier 2.</w:t>
      </w:r>
      <w:r w:rsidRPr="00C327E4">
        <w:tab/>
      </w:r>
    </w:p>
    <w:p w14:paraId="4AB67F0D" w14:textId="77777777" w:rsidR="00624615" w:rsidRPr="00C327E4" w:rsidRDefault="00624615" w:rsidP="00624615">
      <w:pPr>
        <w:tabs>
          <w:tab w:val="left" w:pos="2790"/>
        </w:tabs>
      </w:pPr>
      <w:r w:rsidRPr="00C327E4">
        <w:t>CoCs are required to either accept and rank or reject all projects submitted by project applicants in e-snaps, except CoC planning projects. CoCs are encouraged to consider the policy priorities established in the NOF</w:t>
      </w:r>
      <w:r>
        <w:t>O</w:t>
      </w:r>
      <w:r w:rsidRPr="00C327E4">
        <w:t xml:space="preserve"> in conjunction with local priorities to determine the ranking of projects. All projects must pass HUD’s eligibility and threshold requirements to be funded, no matter their priority.</w:t>
      </w:r>
      <w:r w:rsidRPr="00C327E4">
        <w:tab/>
      </w:r>
      <w:r w:rsidRPr="00C327E4">
        <w:tab/>
      </w:r>
    </w:p>
    <w:p w14:paraId="512A93CC" w14:textId="2B901A4D" w:rsidR="00A17B4E" w:rsidRPr="00C327E4" w:rsidRDefault="00A17B4E" w:rsidP="00A17B4E">
      <w:pPr>
        <w:tabs>
          <w:tab w:val="left" w:pos="2790"/>
        </w:tabs>
      </w:pPr>
      <w:r w:rsidRPr="00C327E4">
        <w:tab/>
      </w:r>
    </w:p>
    <w:p w14:paraId="2EBC925D" w14:textId="4F5A471A" w:rsidR="00BA4E29" w:rsidRPr="00C327E4" w:rsidRDefault="00BA4E29" w:rsidP="00BA4E29">
      <w:pPr>
        <w:tabs>
          <w:tab w:val="left" w:pos="2790"/>
        </w:tabs>
      </w:pPr>
      <w:r w:rsidRPr="00C327E4">
        <w:rPr>
          <w:b/>
          <w:u w:val="single"/>
        </w:rPr>
        <w:t>TIER 1:</w:t>
      </w:r>
      <w:r w:rsidRPr="00C327E4">
        <w:t xml:space="preserve"> In 20</w:t>
      </w:r>
      <w:r>
        <w:t>2</w:t>
      </w:r>
      <w:r w:rsidR="006C230B">
        <w:t>3</w:t>
      </w:r>
      <w:r w:rsidRPr="00C327E4">
        <w:t>, the amount of funding available for Tier 1 is equal to the amount of</w:t>
      </w:r>
      <w:r>
        <w:t xml:space="preserve"> the CoC’s</w:t>
      </w:r>
      <w:r w:rsidRPr="00C327E4">
        <w:t xml:space="preserve"> Annual Renewal </w:t>
      </w:r>
      <w:r>
        <w:t>Demand a</w:t>
      </w:r>
      <w:r w:rsidRPr="00C327E4">
        <w:t>mount. HUD will conditionally award projects from the highest scoring CoC to the lowest scoring CoC. Projects should be placed in priority order.</w:t>
      </w:r>
      <w:r w:rsidRPr="00C327E4">
        <w:tab/>
      </w:r>
    </w:p>
    <w:p w14:paraId="1347CF35" w14:textId="77777777" w:rsidR="00BA4E29" w:rsidRPr="003A504C" w:rsidRDefault="00BA4E29" w:rsidP="00BA4E29">
      <w:pPr>
        <w:tabs>
          <w:tab w:val="left" w:pos="2790"/>
        </w:tabs>
      </w:pPr>
      <w:r w:rsidRPr="003A504C">
        <w:rPr>
          <w:b/>
          <w:u w:val="single"/>
        </w:rPr>
        <w:t>TIER 2</w:t>
      </w:r>
      <w:r w:rsidRPr="003A504C">
        <w:t>: Tier 2 is the difference between Tier 1 and the maximum amount of renewal, reallocation, and CoC Bonus funds that a CoC can apply for.</w:t>
      </w:r>
    </w:p>
    <w:p w14:paraId="44E4DA6D" w14:textId="77777777" w:rsidR="00BA4E29" w:rsidRPr="003A504C" w:rsidRDefault="00BA4E29" w:rsidP="00BA4E29">
      <w:pPr>
        <w:tabs>
          <w:tab w:val="left" w:pos="2790"/>
        </w:tabs>
      </w:pPr>
      <w:r w:rsidRPr="003A504C">
        <w:t>Funding will be determined by using the CoC Application score as well as the factors listed in Section II.B.11 of the NOFO.</w:t>
      </w:r>
    </w:p>
    <w:p w14:paraId="1A9C6DF4" w14:textId="77777777" w:rsidR="00BA4E29" w:rsidRPr="003A504C" w:rsidRDefault="00BA4E29" w:rsidP="00BA4E29">
      <w:pPr>
        <w:tabs>
          <w:tab w:val="left" w:pos="2790"/>
        </w:tabs>
        <w:rPr>
          <w:i/>
          <w:u w:val="single"/>
        </w:rPr>
      </w:pPr>
      <w:r w:rsidRPr="003A504C">
        <w:rPr>
          <w:i/>
          <w:u w:val="single"/>
        </w:rPr>
        <w:t>Tier 2 points are awarded as follows:</w:t>
      </w:r>
    </w:p>
    <w:p w14:paraId="7E32E1C2" w14:textId="77777777" w:rsidR="00BA4E29" w:rsidRPr="003A504C" w:rsidRDefault="00BA4E29" w:rsidP="00BA4E29">
      <w:pPr>
        <w:tabs>
          <w:tab w:val="left" w:pos="2790"/>
        </w:tabs>
      </w:pPr>
      <w:r w:rsidRPr="003A504C">
        <w:t xml:space="preserve">HUD will award a point value to each new and renewal project application that is in Tier 2 using a 100-point scale: (1) CoC Collaborative Application Score. Up to 50 points in direct proportion to the score received on the CoC </w:t>
      </w:r>
      <w:proofErr w:type="gramStart"/>
      <w:r w:rsidRPr="003A504C">
        <w:t>Application;</w:t>
      </w:r>
      <w:proofErr w:type="gramEnd"/>
      <w:r w:rsidRPr="003A504C">
        <w:t xml:space="preserve"> e.g., if a CoC received 100 out of 200 points on the CoC Application, the project application would receive 25 out of 50 points for this criterion. </w:t>
      </w:r>
    </w:p>
    <w:p w14:paraId="010BD18E" w14:textId="0F9DF24D" w:rsidR="00BA4E29" w:rsidRDefault="00BA4E29" w:rsidP="00BA4E29">
      <w:pPr>
        <w:tabs>
          <w:tab w:val="left" w:pos="2790"/>
        </w:tabs>
      </w:pPr>
      <w:r w:rsidRPr="003A504C">
        <w:t xml:space="preserve">(2) CoC Project Ranking. </w:t>
      </w:r>
      <w:r>
        <w:t xml:space="preserve">Up to 40 points for the CoC’s ranking of the project </w:t>
      </w:r>
      <w:r w:rsidR="006F68C7">
        <w:t xml:space="preserve">application </w:t>
      </w:r>
      <w:r>
        <w:t xml:space="preserve">(s). To consider the CoC's ranking of projects, point values will be assigned directly related to the CoC's ranking of project applications. The calculation of point values will be 40 times the quantity (1-x) where x is the ratio of the cumulative funding requests for all projects or portions of projects ranked higher by the CoC in Tier 2 plus one half of the funding of the project of interest to the total amount of funding available in Tier 2. For example, if a CoC is eligible to apply for projects totaling $500,000 in Tier 2 and applies for 5 projects ranked in Tier 2 of $100,000 each: the highest-ranked project would receive 36 points, and then the subsequently ranked projects would receive 28, 20,12, and 4 points. </w:t>
      </w:r>
    </w:p>
    <w:p w14:paraId="3D72F4A6" w14:textId="77777777" w:rsidR="00BA4E29" w:rsidRPr="003A504C" w:rsidRDefault="00BA4E29" w:rsidP="00BA4E29">
      <w:pPr>
        <w:tabs>
          <w:tab w:val="left" w:pos="2790"/>
        </w:tabs>
      </w:pPr>
      <w:r w:rsidRPr="003A504C">
        <w:t>(3) Commitment to Housing First. Up to 10 points for how the permanent housing project application commits to applying the Housing First model as defined in Section III.B.2. Dedicated HMIS projects and centralized or coordinated assessment system will automatically receive 10 points.</w:t>
      </w:r>
      <w:r w:rsidRPr="003A504C">
        <w:tab/>
      </w:r>
    </w:p>
    <w:p w14:paraId="7E2069C1" w14:textId="77777777" w:rsidR="00BA4E29" w:rsidRDefault="00BA4E29" w:rsidP="00BA4E29">
      <w:pPr>
        <w:tabs>
          <w:tab w:val="left" w:pos="2790"/>
        </w:tabs>
      </w:pPr>
      <w:r w:rsidRPr="003A504C">
        <w:rPr>
          <w:b/>
          <w:u w:val="single"/>
        </w:rPr>
        <w:t>STRADDLING TIERS</w:t>
      </w:r>
      <w:r w:rsidRPr="003A504C">
        <w:rPr>
          <w:u w:val="single"/>
        </w:rPr>
        <w:t>:</w:t>
      </w:r>
      <w:r w:rsidRPr="003A504C">
        <w:t xml:space="preserve"> For any projects that straddle the two tiers, H</w:t>
      </w:r>
      <w:r>
        <w:t xml:space="preserve">UD will conditionally select the project up to the amount of funding that falls within Tier 1.  Using the CoC </w:t>
      </w:r>
      <w:proofErr w:type="gramStart"/>
      <w:r>
        <w:t>score</w:t>
      </w:r>
      <w:proofErr w:type="gramEnd"/>
      <w:r>
        <w:t xml:space="preserve"> and other factors described in Section II.B.11 HUD may fund the Tier 2 portion of the project.  If HUD does not fund the Tier 2 portion of the project, HUD may award the project at the reduced amount, provided the project is still feasible with the reduced funding (e.g., is able to continue serving homeless program participants effectively).</w:t>
      </w:r>
    </w:p>
    <w:p w14:paraId="16EF5358" w14:textId="5B2F81EE" w:rsidR="0074649B" w:rsidRDefault="00A17B4E" w:rsidP="005E12BA">
      <w:pPr>
        <w:tabs>
          <w:tab w:val="left" w:pos="2790"/>
        </w:tabs>
      </w:pPr>
      <w:r w:rsidRPr="00C327E4">
        <w:tab/>
      </w:r>
      <w:r w:rsidRPr="00C327E4">
        <w:tab/>
      </w:r>
      <w:r w:rsidRPr="00C327E4">
        <w:tab/>
      </w:r>
    </w:p>
    <w:p w14:paraId="748E7A30" w14:textId="77777777" w:rsidR="005E12BA" w:rsidRPr="00C327E4" w:rsidRDefault="00ED3B61" w:rsidP="005E12BA">
      <w:pPr>
        <w:pBdr>
          <w:bottom w:val="single" w:sz="12" w:space="1" w:color="auto"/>
        </w:pBdr>
        <w:tabs>
          <w:tab w:val="left" w:pos="2790"/>
        </w:tabs>
        <w:jc w:val="center"/>
        <w:rPr>
          <w:sz w:val="32"/>
          <w:szCs w:val="32"/>
        </w:rPr>
      </w:pPr>
      <w:r>
        <w:rPr>
          <w:sz w:val="32"/>
          <w:szCs w:val="32"/>
        </w:rPr>
        <w:t>HUD’s Homeless Policy and Program Priorities</w:t>
      </w:r>
    </w:p>
    <w:p w14:paraId="18F289F0" w14:textId="77777777" w:rsidR="00ED3B61" w:rsidRDefault="00ED3B61" w:rsidP="00ED3B61">
      <w:pPr>
        <w:tabs>
          <w:tab w:val="left" w:pos="2790"/>
        </w:tabs>
      </w:pPr>
      <w:r>
        <w:t xml:space="preserve">All projects should align with HUD’s policy and program priorities, both to increase their likelihood of being funded in this cycle and to ensure that the funding is a good match for the project in the future. </w:t>
      </w:r>
    </w:p>
    <w:p w14:paraId="2BA27177" w14:textId="77777777" w:rsidR="00ED3B61" w:rsidRDefault="00ED3B61" w:rsidP="00ED3B61">
      <w:pPr>
        <w:tabs>
          <w:tab w:val="left" w:pos="2790"/>
        </w:tabs>
      </w:pPr>
      <w:r>
        <w:t>CoCs and Project Applications will be evaluated based on the extent to which they further HUD’s policy priorities. Aligned with Opening Doors: The Federal Strategic Plan to Prevent and End Homelessness, the policy priorities set forth in the NOFA are:</w:t>
      </w:r>
    </w:p>
    <w:p w14:paraId="11E79B54" w14:textId="6A6D40FA" w:rsidR="00ED3B61" w:rsidRDefault="00ED3B61" w:rsidP="005E12BA">
      <w:pPr>
        <w:pStyle w:val="ListParagraph"/>
        <w:numPr>
          <w:ilvl w:val="0"/>
          <w:numId w:val="18"/>
        </w:numPr>
        <w:tabs>
          <w:tab w:val="left" w:pos="2790"/>
        </w:tabs>
      </w:pPr>
      <w:r w:rsidRPr="00ED3B61">
        <w:rPr>
          <w:b/>
        </w:rPr>
        <w:t>Ending homelessness for all persons</w:t>
      </w:r>
      <w:r>
        <w:rPr>
          <w:b/>
        </w:rPr>
        <w:t>-</w:t>
      </w:r>
      <w:r w:rsidRPr="00ED3B61">
        <w:t xml:space="preserve"> To end homelessness, CoCs should identify, engage, and effectively serve all persons experiencing homelessness. CoCs should measure their performance based on local data that consider the challenges faced by all subpopulations experiencing homelessness in the geographic area (e.g., veterans, youth, families, or those experiencing chronic homelessness). </w:t>
      </w:r>
      <w:r w:rsidR="0092309C">
        <w:t>CoCs should partner with housing, health care, and supportive services providers to expand housing options, such as permanent supportive housing, housing subsidies, and rapid rehousing.  Additionally, CoCs should use local data to determine the characteristics of individuals and families with the highest needs and longest experiences of homelessness to develop housing and supportive services tailored to their needs.</w:t>
      </w:r>
    </w:p>
    <w:p w14:paraId="74330F57" w14:textId="212F6139" w:rsidR="00715180" w:rsidRDefault="00ED3B61" w:rsidP="005E12BA">
      <w:pPr>
        <w:pStyle w:val="ListParagraph"/>
        <w:numPr>
          <w:ilvl w:val="0"/>
          <w:numId w:val="18"/>
        </w:numPr>
        <w:tabs>
          <w:tab w:val="left" w:pos="2790"/>
        </w:tabs>
      </w:pPr>
      <w:r w:rsidRPr="00715180">
        <w:rPr>
          <w:b/>
        </w:rPr>
        <w:t>Use a Housing First approach</w:t>
      </w:r>
      <w:r>
        <w:t>-</w:t>
      </w:r>
      <w:r w:rsidRPr="00ED3B61">
        <w:t xml:space="preserve"> Housing First prioritizes rapid placement and stabilization in permanent housing and does not have service participation requirements or preconditions. CoC Program funded projects should help individuals and families move quickly into permanent housing, and the CoC should measure and help projects reduce the length of time people experience homelessness. Additionally, CoCs should engage landlords and property owners</w:t>
      </w:r>
      <w:r w:rsidR="0092309C">
        <w:t xml:space="preserve"> to identify an inventory of housing available for rapid rehousing and permanent supportive housing participants,</w:t>
      </w:r>
      <w:r w:rsidRPr="00ED3B61">
        <w:t xml:space="preserve"> remove barriers to entry, and adopt client-centered service methods.</w:t>
      </w:r>
      <w:r w:rsidR="0092309C">
        <w:t xml:space="preserve">  HUD encourages CoCs to assess how well Housing First approaches are being implemented in their communities.</w:t>
      </w:r>
    </w:p>
    <w:p w14:paraId="31B17A5C" w14:textId="50F96DED" w:rsidR="0092309C" w:rsidRDefault="0092309C" w:rsidP="005E12BA">
      <w:pPr>
        <w:pStyle w:val="ListParagraph"/>
        <w:numPr>
          <w:ilvl w:val="0"/>
          <w:numId w:val="18"/>
        </w:numPr>
        <w:tabs>
          <w:tab w:val="left" w:pos="2790"/>
        </w:tabs>
      </w:pPr>
      <w:r>
        <w:rPr>
          <w:b/>
        </w:rPr>
        <w:t>Reducing Unsheltered Homelessness</w:t>
      </w:r>
      <w:r w:rsidRPr="0092309C">
        <w:t>-</w:t>
      </w:r>
      <w:r>
        <w:t xml:space="preserve"> In recent years, the number of people experiencing unsheltered homelessness has risen significantly, including a rising number of encampments in many communities across the country.  People living unsheltered have extremely high rates of physical and mental illness and substance use disorders.  CoCs should identify permanent housing options for people who are unsheltered.</w:t>
      </w:r>
    </w:p>
    <w:p w14:paraId="70673C91" w14:textId="3305A2E5" w:rsidR="00960988" w:rsidRPr="003D216F" w:rsidRDefault="0092309C" w:rsidP="00715180">
      <w:pPr>
        <w:pStyle w:val="ListParagraph"/>
        <w:numPr>
          <w:ilvl w:val="0"/>
          <w:numId w:val="18"/>
        </w:numPr>
        <w:tabs>
          <w:tab w:val="left" w:pos="2790"/>
        </w:tabs>
        <w:rPr>
          <w:b/>
          <w:bCs/>
        </w:rPr>
      </w:pPr>
      <w:r w:rsidRPr="0092309C">
        <w:rPr>
          <w:b/>
          <w:bCs/>
        </w:rPr>
        <w:t>Improving System Performance</w:t>
      </w:r>
      <w:r>
        <w:rPr>
          <w:b/>
          <w:bCs/>
        </w:rPr>
        <w:t xml:space="preserve">- </w:t>
      </w:r>
      <w:r>
        <w:t xml:space="preserve">CoC should be using system performance measures (e.g., average length of homeless episodes, rates of return to homelessness, rates of exit to permanent housing destinations) to determine how effectively they are serving people experiencing homelessness.  Additionally, CoCs should use their Coordinated Entry process to promote participant choice, coordinate homeless assistance and mainstream housing, and services to ensure people experiencing homelessness receive assistance quickly, and make homelessness assistance open, inclusive, and transparent.  CoCs should review all projects eligible for renewal in FY 2021 to determine their effectiveness in serving people experiencing homelessness, including cost-effectiveness.  CoCs should also look for opportunities to implement continuous quality improvement and other process improvement strategies.  HUD recognizes the effects of COVID-19 on CoC performance and data quality </w:t>
      </w:r>
      <w:proofErr w:type="gramStart"/>
      <w:r>
        <w:t>and,</w:t>
      </w:r>
      <w:proofErr w:type="gramEnd"/>
      <w:r>
        <w:t xml:space="preserve"> compared to previous CoC NOFOs, reduces the number of points</w:t>
      </w:r>
      <w:r w:rsidR="003D216F">
        <w:t xml:space="preserve"> available for rating factors related to system performance. However, HUD plans to significantly increase the points available for system performance rating factors in FY </w:t>
      </w:r>
      <w:r w:rsidR="006F68C7">
        <w:t>2023</w:t>
      </w:r>
      <w:r w:rsidR="003D216F">
        <w:t xml:space="preserve"> and subsequent CoC NOFOs.</w:t>
      </w:r>
    </w:p>
    <w:p w14:paraId="3E68CB81" w14:textId="0BBF8C20" w:rsidR="003D216F" w:rsidRPr="003D216F" w:rsidRDefault="003D216F" w:rsidP="00715180">
      <w:pPr>
        <w:pStyle w:val="ListParagraph"/>
        <w:numPr>
          <w:ilvl w:val="0"/>
          <w:numId w:val="18"/>
        </w:numPr>
        <w:tabs>
          <w:tab w:val="left" w:pos="2790"/>
        </w:tabs>
        <w:rPr>
          <w:b/>
          <w:bCs/>
        </w:rPr>
      </w:pPr>
      <w:r>
        <w:rPr>
          <w:b/>
          <w:bCs/>
        </w:rPr>
        <w:t xml:space="preserve">Partnering with Housing, </w:t>
      </w:r>
      <w:proofErr w:type="gramStart"/>
      <w:r>
        <w:rPr>
          <w:b/>
          <w:bCs/>
        </w:rPr>
        <w:t>Health</w:t>
      </w:r>
      <w:proofErr w:type="gramEnd"/>
      <w:r>
        <w:rPr>
          <w:b/>
          <w:bCs/>
        </w:rPr>
        <w:t xml:space="preserve"> and Service Agencies- </w:t>
      </w:r>
      <w:r>
        <w:t>Using cost performance and outcome data, CoCs should improve how all available resources are utilized to end homelessness.  This is especially important as the CARES Act and American Rescue Plan have provided significant new resources to help end homelessness.  HUD encourages CoCs to maximize the use of mainstream and other community-based resources when serving persons experiencing homelessness and should:</w:t>
      </w:r>
    </w:p>
    <w:p w14:paraId="4E6F5269" w14:textId="7421CF7F" w:rsidR="003D216F" w:rsidRPr="003D216F" w:rsidRDefault="003D216F" w:rsidP="003D216F">
      <w:pPr>
        <w:pStyle w:val="ListParagraph"/>
        <w:numPr>
          <w:ilvl w:val="1"/>
          <w:numId w:val="18"/>
        </w:numPr>
        <w:tabs>
          <w:tab w:val="left" w:pos="2790"/>
        </w:tabs>
        <w:rPr>
          <w:b/>
          <w:bCs/>
        </w:rPr>
      </w:pPr>
      <w:r>
        <w:t xml:space="preserve">Work closely with public and private healthcare organizations and assist program participants to obtain medical insurance to address healthcare </w:t>
      </w:r>
      <w:proofErr w:type="gramStart"/>
      <w:r>
        <w:t>needs;</w:t>
      </w:r>
      <w:proofErr w:type="gramEnd"/>
    </w:p>
    <w:p w14:paraId="50223711" w14:textId="4FC65A6B" w:rsidR="003D216F" w:rsidRPr="003D216F" w:rsidRDefault="003D216F" w:rsidP="003D216F">
      <w:pPr>
        <w:pStyle w:val="ListParagraph"/>
        <w:numPr>
          <w:ilvl w:val="1"/>
          <w:numId w:val="18"/>
        </w:numPr>
        <w:tabs>
          <w:tab w:val="left" w:pos="2790"/>
        </w:tabs>
        <w:rPr>
          <w:b/>
          <w:bCs/>
        </w:rPr>
      </w:pPr>
      <w:r>
        <w:t xml:space="preserve">Partner closely with PHAs and state and local housing organizations to utilize coordinated entry, develop housing units, and provide housing subsidies to people experiencing homelessness.  These partnerships can also help COC Program participants exit permanent supportive housing through Housing Choice Vouchers and other available housing options.  CoCs and PHAs should especially work together to implement targeted programs such as Emergency Housing Vouchers, HUD-VASH, Mainstream Vouchers, Family Unification Program Vouchers, and other housing voucher programs targeted to people experiencing homelessness.  CoCs should coordinate with their state and local housing agencies on the utilization of new HOME program resources provided through the Homelessness Assistance and Supportive Services Program that was created through the American Rescue </w:t>
      </w:r>
      <w:proofErr w:type="gramStart"/>
      <w:r>
        <w:t>Plan;</w:t>
      </w:r>
      <w:proofErr w:type="gramEnd"/>
    </w:p>
    <w:p w14:paraId="0787A965" w14:textId="579163D3" w:rsidR="003D216F" w:rsidRPr="003D216F" w:rsidRDefault="003D216F" w:rsidP="003D216F">
      <w:pPr>
        <w:pStyle w:val="ListParagraph"/>
        <w:numPr>
          <w:ilvl w:val="1"/>
          <w:numId w:val="18"/>
        </w:numPr>
        <w:tabs>
          <w:tab w:val="left" w:pos="2790"/>
        </w:tabs>
        <w:rPr>
          <w:b/>
          <w:bCs/>
        </w:rPr>
      </w:pPr>
      <w:r>
        <w:t>Partner with local workforce development centers to improve employment opportunities; and</w:t>
      </w:r>
    </w:p>
    <w:p w14:paraId="7FAF7110" w14:textId="16E46895" w:rsidR="003D216F" w:rsidRPr="003D216F" w:rsidRDefault="003D216F" w:rsidP="003D216F">
      <w:pPr>
        <w:pStyle w:val="ListParagraph"/>
        <w:numPr>
          <w:ilvl w:val="1"/>
          <w:numId w:val="18"/>
        </w:numPr>
        <w:tabs>
          <w:tab w:val="left" w:pos="2790"/>
        </w:tabs>
        <w:rPr>
          <w:b/>
          <w:bCs/>
        </w:rPr>
      </w:pPr>
      <w:r>
        <w:t>Work with tribal organizations to ensure that tribal members can access CoC-funded assistance when a CoC’s geographic area borders a tribal area.</w:t>
      </w:r>
    </w:p>
    <w:p w14:paraId="538CD30D" w14:textId="34F54F48" w:rsidR="003D216F" w:rsidRPr="00C9066F" w:rsidRDefault="003D216F" w:rsidP="003D216F">
      <w:pPr>
        <w:pStyle w:val="ListParagraph"/>
        <w:numPr>
          <w:ilvl w:val="0"/>
          <w:numId w:val="18"/>
        </w:numPr>
        <w:tabs>
          <w:tab w:val="left" w:pos="2790"/>
        </w:tabs>
        <w:rPr>
          <w:b/>
          <w:bCs/>
        </w:rPr>
      </w:pPr>
      <w:r w:rsidRPr="003D216F">
        <w:rPr>
          <w:b/>
          <w:bCs/>
        </w:rPr>
        <w:t>Racial Equity-</w:t>
      </w:r>
      <w:r>
        <w:rPr>
          <w:b/>
          <w:bCs/>
        </w:rPr>
        <w:t xml:space="preserve"> </w:t>
      </w:r>
      <w:r>
        <w:t xml:space="preserve">In nearly every community, Black, Indigenous, and other people of color are substantially overrepresented in the homeless population.  HUD is emphasizing system and program changes to address racial equity within CoCs.  </w:t>
      </w:r>
      <w:r w:rsidR="00C9066F">
        <w:t>CoCs should review local policies, procedures, and processes to determine where and how to address racial disparities affecting individuals and families experiencing homelessness.</w:t>
      </w:r>
    </w:p>
    <w:p w14:paraId="41EF4B3B" w14:textId="1E46D311" w:rsidR="00C9066F" w:rsidRPr="00C9066F" w:rsidRDefault="00C9066F" w:rsidP="003D216F">
      <w:pPr>
        <w:pStyle w:val="ListParagraph"/>
        <w:numPr>
          <w:ilvl w:val="0"/>
          <w:numId w:val="18"/>
        </w:numPr>
        <w:tabs>
          <w:tab w:val="left" w:pos="2790"/>
        </w:tabs>
        <w:rPr>
          <w:b/>
          <w:bCs/>
        </w:rPr>
      </w:pPr>
      <w:r>
        <w:rPr>
          <w:b/>
          <w:bCs/>
        </w:rPr>
        <w:t xml:space="preserve">Persons with Lived Experience- </w:t>
      </w:r>
      <w:r>
        <w:t>HUD is encouraging CoCs to include in the local planning process people who are currently experiencing or have formerly experienced homelessness to address homelessness.  People with lived experience should determine how local policies may need to be revised and updated, participate in CoC meetings and committees as stakeholders, provide input on decisions, and provide input related to the local competition process (e.g., how rating factors are determined).  CoCs should seek opportunities to hire people with lived experience.</w:t>
      </w:r>
    </w:p>
    <w:p w14:paraId="3AB7334D" w14:textId="77777777" w:rsidR="00C9066F" w:rsidRPr="00C9066F" w:rsidRDefault="00C9066F" w:rsidP="00C9066F">
      <w:pPr>
        <w:tabs>
          <w:tab w:val="left" w:pos="2790"/>
        </w:tabs>
        <w:rPr>
          <w:b/>
          <w:bCs/>
        </w:rPr>
      </w:pPr>
    </w:p>
    <w:p w14:paraId="2736C240" w14:textId="29372242" w:rsidR="00715180" w:rsidRDefault="003210F9" w:rsidP="00715180">
      <w:pPr>
        <w:pBdr>
          <w:bottom w:val="single" w:sz="12" w:space="1" w:color="auto"/>
        </w:pBdr>
        <w:tabs>
          <w:tab w:val="left" w:pos="2790"/>
        </w:tabs>
        <w:jc w:val="center"/>
        <w:rPr>
          <w:sz w:val="32"/>
          <w:szCs w:val="32"/>
        </w:rPr>
      </w:pPr>
      <w:r>
        <w:rPr>
          <w:noProof/>
        </w:rPr>
        <mc:AlternateContent>
          <mc:Choice Requires="wps">
            <w:drawing>
              <wp:anchor distT="0" distB="0" distL="114300" distR="114300" simplePos="0" relativeHeight="251658240" behindDoc="0" locked="0" layoutInCell="1" allowOverlap="1" wp14:anchorId="432A1472" wp14:editId="52C785F0">
                <wp:simplePos x="0" y="0"/>
                <wp:positionH relativeFrom="column">
                  <wp:posOffset>7620</wp:posOffset>
                </wp:positionH>
                <wp:positionV relativeFrom="paragraph">
                  <wp:posOffset>274955</wp:posOffset>
                </wp:positionV>
                <wp:extent cx="6324600" cy="9525"/>
                <wp:effectExtent l="0" t="0" r="19050" b="28575"/>
                <wp:wrapNone/>
                <wp:docPr id="1492838101" name="Straight Connector 1492838101"/>
                <wp:cNvGraphicFramePr/>
                <a:graphic xmlns:a="http://schemas.openxmlformats.org/drawingml/2006/main">
                  <a:graphicData uri="http://schemas.microsoft.com/office/word/2010/wordprocessingShape">
                    <wps:wsp>
                      <wps:cNvCnPr/>
                      <wps:spPr>
                        <a:xfrm>
                          <a:off x="0" y="0"/>
                          <a:ext cx="6324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7E35744" id="Straight Connector 149283810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1.65pt" to="498.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" strokecolor="black [3200]" strokeweight=".5pt">
                <v:stroke joinstyle="miter"/>
              </v:line>
            </w:pict>
          </mc:Fallback>
        </mc:AlternateContent>
      </w:r>
      <w:r w:rsidR="005E12BA" w:rsidRPr="00C327E4">
        <w:t xml:space="preserve">  </w:t>
      </w:r>
      <w:r w:rsidR="00715180">
        <w:rPr>
          <w:sz w:val="32"/>
          <w:szCs w:val="32"/>
        </w:rPr>
        <w:t>Threshold to Apply</w:t>
      </w:r>
      <w:r w:rsidR="00960988">
        <w:rPr>
          <w:sz w:val="32"/>
          <w:szCs w:val="32"/>
        </w:rPr>
        <w:t xml:space="preserve"> </w:t>
      </w:r>
    </w:p>
    <w:p w14:paraId="722351C6" w14:textId="1ECF824E" w:rsidR="008935BC" w:rsidRDefault="003C44E3" w:rsidP="00BC1410">
      <w:pPr>
        <w:pStyle w:val="NoSpacing"/>
      </w:pPr>
      <w:r w:rsidRPr="009F0FC1">
        <w:t xml:space="preserve">For new projects, the review process </w:t>
      </w:r>
      <w:r w:rsidRPr="009F0FC1">
        <w:t>considers applicant and subrecipient eligibility and capacity, project</w:t>
      </w:r>
      <w:r w:rsidR="003A036F">
        <w:t xml:space="preserve"> </w:t>
      </w:r>
      <w:r w:rsidRPr="009F0FC1">
        <w:t>eligibility, and project quality as part of the threshold review.</w:t>
      </w:r>
    </w:p>
    <w:p w14:paraId="2C58C2EC" w14:textId="77777777" w:rsidR="00BC1410" w:rsidRPr="009F0FC1" w:rsidRDefault="00BC1410" w:rsidP="00BC1410">
      <w:pPr>
        <w:pStyle w:val="NoSpacing"/>
      </w:pPr>
    </w:p>
    <w:p w14:paraId="50050367" w14:textId="40AA44DD" w:rsidR="003C44E3" w:rsidRDefault="008935BC" w:rsidP="00BC1410">
      <w:pPr>
        <w:pStyle w:val="NoSpacing"/>
      </w:pPr>
      <w:r w:rsidRPr="009F0FC1">
        <w:rPr>
          <w:b/>
          <w:u w:val="single"/>
        </w:rPr>
        <w:t>Project Eligibility Threshold</w:t>
      </w:r>
      <w:r w:rsidRPr="009F0FC1">
        <w:rPr>
          <w:b/>
        </w:rPr>
        <w:t>:</w:t>
      </w:r>
      <w:r w:rsidR="00C1757C">
        <w:t xml:space="preserve"> </w:t>
      </w:r>
      <w:r w:rsidRPr="009F0FC1">
        <w:t xml:space="preserve">HUD will review eligibility threshold requirements on a pass/fail standard, and if standards are not met, the project will be rejected from the competition. Applicants and subrecipients must: </w:t>
      </w:r>
    </w:p>
    <w:p w14:paraId="3AD2250A" w14:textId="77777777" w:rsidR="00BC1410" w:rsidRPr="009F0FC1" w:rsidRDefault="00BC1410" w:rsidP="00BC1410">
      <w:pPr>
        <w:pStyle w:val="NoSpacing"/>
      </w:pPr>
    </w:p>
    <w:p w14:paraId="6B60649A" w14:textId="77777777" w:rsidR="008935BC" w:rsidRPr="009F0FC1" w:rsidRDefault="008935BC" w:rsidP="0002601E">
      <w:pPr>
        <w:pStyle w:val="NoSpacing"/>
        <w:numPr>
          <w:ilvl w:val="0"/>
          <w:numId w:val="45"/>
        </w:numPr>
      </w:pPr>
      <w:r w:rsidRPr="009F0FC1">
        <w:t xml:space="preserve">Meet the eligibility requirements of the CoC Program as described in the Act and the Rule and provide evidence of eligibility required in the application (e.g., nonprofit documentation). </w:t>
      </w:r>
    </w:p>
    <w:p w14:paraId="6C004E25" w14:textId="77777777" w:rsidR="008935BC" w:rsidRPr="009F0FC1" w:rsidRDefault="008935BC" w:rsidP="0002601E">
      <w:pPr>
        <w:pStyle w:val="NoSpacing"/>
        <w:numPr>
          <w:ilvl w:val="0"/>
          <w:numId w:val="45"/>
        </w:numPr>
      </w:pPr>
      <w:r w:rsidRPr="009F0FC1">
        <w:t xml:space="preserve">Demonstrate financial and management capacity and experience to carry out the project and to administer federal </w:t>
      </w:r>
      <w:proofErr w:type="gramStart"/>
      <w:r w:rsidRPr="009F0FC1">
        <w:t>funds</w:t>
      </w:r>
      <w:proofErr w:type="gramEnd"/>
      <w:r w:rsidR="003C44E3" w:rsidRPr="009F0FC1">
        <w:t xml:space="preserve"> </w:t>
      </w:r>
    </w:p>
    <w:p w14:paraId="62C2D85A" w14:textId="77777777" w:rsidR="008935BC" w:rsidRPr="009F0FC1" w:rsidRDefault="008935BC" w:rsidP="0002601E">
      <w:pPr>
        <w:pStyle w:val="NoSpacing"/>
        <w:numPr>
          <w:ilvl w:val="0"/>
          <w:numId w:val="45"/>
        </w:numPr>
      </w:pPr>
      <w:r w:rsidRPr="009F0FC1">
        <w:t xml:space="preserve">Submit required </w:t>
      </w:r>
      <w:proofErr w:type="gramStart"/>
      <w:r w:rsidRPr="009F0FC1">
        <w:t>certifications</w:t>
      </w:r>
      <w:proofErr w:type="gramEnd"/>
    </w:p>
    <w:p w14:paraId="67F2D8B9" w14:textId="77777777" w:rsidR="003C44E3" w:rsidRPr="009F0FC1" w:rsidRDefault="008935BC" w:rsidP="0002601E">
      <w:pPr>
        <w:pStyle w:val="NoSpacing"/>
        <w:numPr>
          <w:ilvl w:val="0"/>
          <w:numId w:val="45"/>
        </w:numPr>
      </w:pPr>
      <w:r w:rsidRPr="009F0FC1">
        <w:t>Propose an eligible population for the project type, as designated by the CoC Program Interim Rule and the NOFO</w:t>
      </w:r>
    </w:p>
    <w:p w14:paraId="6A711DDA" w14:textId="77777777" w:rsidR="003C44E3" w:rsidRDefault="003C44E3" w:rsidP="0002601E">
      <w:pPr>
        <w:pStyle w:val="NoSpacing"/>
        <w:numPr>
          <w:ilvl w:val="0"/>
          <w:numId w:val="45"/>
        </w:numPr>
      </w:pPr>
      <w:r w:rsidRPr="009F0FC1">
        <w:t>Agree to participate in HMIS (except for victim service providers who must use a comparable database)</w:t>
      </w:r>
    </w:p>
    <w:p w14:paraId="709142AC" w14:textId="77777777" w:rsidR="0002601E" w:rsidRPr="009F0FC1" w:rsidRDefault="0002601E" w:rsidP="0002601E">
      <w:pPr>
        <w:pStyle w:val="NoSpacing"/>
        <w:ind w:left="720"/>
      </w:pPr>
    </w:p>
    <w:p w14:paraId="10931C93" w14:textId="77777777" w:rsidR="008935BC" w:rsidRDefault="008935BC" w:rsidP="00BC1410">
      <w:pPr>
        <w:pStyle w:val="NoSpacing"/>
      </w:pPr>
      <w:r w:rsidRPr="009F0FC1">
        <w:rPr>
          <w:b/>
          <w:u w:val="single"/>
        </w:rPr>
        <w:t>Project Quality Threshold</w:t>
      </w:r>
      <w:r w:rsidRPr="009F0FC1">
        <w:rPr>
          <w:b/>
        </w:rPr>
        <w:t>:</w:t>
      </w:r>
      <w:r w:rsidRPr="009F0FC1">
        <w:t xml:space="preserve"> HUD will review all new project applications to determine if they meet project quality threshold requirements with clear and convincing evidence. </w:t>
      </w:r>
    </w:p>
    <w:p w14:paraId="6B29B515" w14:textId="77777777" w:rsidR="00896794" w:rsidRDefault="00896794" w:rsidP="00BC1410">
      <w:pPr>
        <w:pStyle w:val="NoSpacing"/>
      </w:pPr>
    </w:p>
    <w:p w14:paraId="76BBE7D9" w14:textId="77777777" w:rsidR="008935BC" w:rsidRDefault="008935BC" w:rsidP="00BC1410">
      <w:pPr>
        <w:pStyle w:val="NoSpacing"/>
      </w:pPr>
      <w:r w:rsidRPr="009F0FC1">
        <w:t xml:space="preserve">For </w:t>
      </w:r>
      <w:r w:rsidRPr="009F0FC1">
        <w:rPr>
          <w:u w:val="single"/>
        </w:rPr>
        <w:t>new permanent housing projects</w:t>
      </w:r>
      <w:r w:rsidRPr="009F0FC1">
        <w:t>, applications must receive at least 3 out of 4 possible points to be funded. Quality threshold factors include:</w:t>
      </w:r>
    </w:p>
    <w:p w14:paraId="412E7F49" w14:textId="77777777" w:rsidR="004C684F" w:rsidRDefault="004C684F" w:rsidP="00BC1410">
      <w:pPr>
        <w:pStyle w:val="NoSpacing"/>
      </w:pPr>
    </w:p>
    <w:p w14:paraId="21BA75BB" w14:textId="77777777" w:rsidR="008935BC" w:rsidRPr="009F0FC1" w:rsidRDefault="008935BC" w:rsidP="008935BC">
      <w:pPr>
        <w:pStyle w:val="ListParagraph"/>
        <w:numPr>
          <w:ilvl w:val="0"/>
          <w:numId w:val="40"/>
        </w:numPr>
      </w:pPr>
      <w:r w:rsidRPr="009F0FC1">
        <w:t xml:space="preserve">Whether the type of housing, number, and configuration of units will fit the needs of the program </w:t>
      </w:r>
      <w:proofErr w:type="gramStart"/>
      <w:r w:rsidRPr="009F0FC1">
        <w:t>participants;</w:t>
      </w:r>
      <w:proofErr w:type="gramEnd"/>
    </w:p>
    <w:p w14:paraId="09435131" w14:textId="77777777" w:rsidR="008935BC" w:rsidRPr="009F0FC1" w:rsidRDefault="008935BC" w:rsidP="008935BC">
      <w:pPr>
        <w:pStyle w:val="ListParagraph"/>
        <w:numPr>
          <w:ilvl w:val="0"/>
          <w:numId w:val="40"/>
        </w:numPr>
      </w:pPr>
      <w:r w:rsidRPr="009F0FC1">
        <w:t xml:space="preserve">Whether the type of supportive services offered will ensure successful retention in or help to obtain permanent housing, including all supportive services regardless of funding </w:t>
      </w:r>
      <w:proofErr w:type="gramStart"/>
      <w:r w:rsidRPr="009F0FC1">
        <w:t>source;</w:t>
      </w:r>
      <w:proofErr w:type="gramEnd"/>
    </w:p>
    <w:p w14:paraId="768E7880" w14:textId="77777777" w:rsidR="008935BC" w:rsidRPr="009F0FC1" w:rsidRDefault="008935BC" w:rsidP="008935BC">
      <w:pPr>
        <w:pStyle w:val="ListParagraph"/>
        <w:numPr>
          <w:ilvl w:val="0"/>
          <w:numId w:val="40"/>
        </w:numPr>
      </w:pPr>
      <w:r w:rsidRPr="009F0FC1">
        <w:t>Whether the plan to connect clients to benefits meets program participant needs; and</w:t>
      </w:r>
    </w:p>
    <w:p w14:paraId="52B1AD13" w14:textId="77777777" w:rsidR="008935BC" w:rsidRPr="009F0FC1" w:rsidRDefault="008935BC" w:rsidP="008935BC">
      <w:pPr>
        <w:pStyle w:val="ListParagraph"/>
        <w:numPr>
          <w:ilvl w:val="0"/>
          <w:numId w:val="40"/>
        </w:numPr>
      </w:pPr>
      <w:r w:rsidRPr="009F0FC1">
        <w:t xml:space="preserve">Whether participants are assisted in obtaining and retaining permanent housing in a manner that fits their needs. </w:t>
      </w:r>
    </w:p>
    <w:p w14:paraId="0549A55F" w14:textId="77777777" w:rsidR="008935BC" w:rsidRPr="009F0FC1" w:rsidRDefault="008935BC" w:rsidP="008935BC">
      <w:r w:rsidRPr="009F0FC1">
        <w:t xml:space="preserve">For </w:t>
      </w:r>
      <w:r w:rsidRPr="009F0FC1">
        <w:rPr>
          <w:u w:val="single"/>
        </w:rPr>
        <w:t>new Joint TH and PH-RRH component projects</w:t>
      </w:r>
      <w:r w:rsidRPr="009F0FC1">
        <w:t>, applications must receive at least 3 out of 5 possible points to be funded. Quality threshold factors include:</w:t>
      </w:r>
    </w:p>
    <w:p w14:paraId="7559DD77" w14:textId="77777777" w:rsidR="008935BC" w:rsidRPr="009F0FC1" w:rsidRDefault="008935BC" w:rsidP="008935BC">
      <w:pPr>
        <w:pStyle w:val="ListParagraph"/>
        <w:numPr>
          <w:ilvl w:val="0"/>
          <w:numId w:val="41"/>
        </w:numPr>
      </w:pPr>
      <w:r w:rsidRPr="009F0FC1">
        <w:t xml:space="preserve">Whether the type of housing, number, and configuration of units will fit the needs of the program </w:t>
      </w:r>
      <w:proofErr w:type="gramStart"/>
      <w:r w:rsidRPr="009F0FC1">
        <w:t>participants;</w:t>
      </w:r>
      <w:proofErr w:type="gramEnd"/>
    </w:p>
    <w:p w14:paraId="139201AA" w14:textId="77777777" w:rsidR="008935BC" w:rsidRPr="009F0FC1" w:rsidRDefault="008935BC" w:rsidP="008935BC">
      <w:pPr>
        <w:pStyle w:val="ListParagraph"/>
        <w:numPr>
          <w:ilvl w:val="0"/>
          <w:numId w:val="41"/>
        </w:numPr>
      </w:pPr>
      <w:r w:rsidRPr="009F0FC1">
        <w:t xml:space="preserve">Whether enough rapid rehousing assistance is available to ensure that at any given time a program participant may move from transitional housing to permanent </w:t>
      </w:r>
      <w:proofErr w:type="gramStart"/>
      <w:r w:rsidRPr="009F0FC1">
        <w:t>housing;</w:t>
      </w:r>
      <w:proofErr w:type="gramEnd"/>
    </w:p>
    <w:p w14:paraId="63568BBB" w14:textId="77777777" w:rsidR="008935BC" w:rsidRPr="009F0FC1" w:rsidRDefault="008935BC" w:rsidP="008935BC">
      <w:pPr>
        <w:pStyle w:val="ListParagraph"/>
        <w:numPr>
          <w:ilvl w:val="0"/>
          <w:numId w:val="41"/>
        </w:numPr>
      </w:pPr>
      <w:r w:rsidRPr="009F0FC1">
        <w:t xml:space="preserve">Whether the type of the supportive services offered (regardless of funding source) will ensure that participants obtain or retain permanent </w:t>
      </w:r>
      <w:proofErr w:type="gramStart"/>
      <w:r w:rsidRPr="009F0FC1">
        <w:t>housing;</w:t>
      </w:r>
      <w:proofErr w:type="gramEnd"/>
    </w:p>
    <w:p w14:paraId="0A3B6EE3" w14:textId="77777777" w:rsidR="008935BC" w:rsidRPr="009F0FC1" w:rsidRDefault="008935BC" w:rsidP="008935BC">
      <w:pPr>
        <w:pStyle w:val="ListParagraph"/>
        <w:numPr>
          <w:ilvl w:val="0"/>
          <w:numId w:val="41"/>
        </w:numPr>
      </w:pPr>
      <w:r w:rsidRPr="009F0FC1">
        <w:t xml:space="preserve">Whether the plan to connect clients to benefits meets program participant </w:t>
      </w:r>
      <w:proofErr w:type="gramStart"/>
      <w:r w:rsidRPr="009F0FC1">
        <w:t>needs;</w:t>
      </w:r>
      <w:proofErr w:type="gramEnd"/>
    </w:p>
    <w:p w14:paraId="2519A7CC" w14:textId="77777777" w:rsidR="008935BC" w:rsidRPr="009F0FC1" w:rsidRDefault="008935BC" w:rsidP="008935BC">
      <w:pPr>
        <w:pStyle w:val="ListParagraph"/>
        <w:numPr>
          <w:ilvl w:val="0"/>
          <w:numId w:val="41"/>
        </w:numPr>
      </w:pPr>
      <w:r w:rsidRPr="009F0FC1">
        <w:t>Whether participants are assisted in obtaining and remaining permanent housing in a manner that fits their needs; and</w:t>
      </w:r>
    </w:p>
    <w:p w14:paraId="644712D3" w14:textId="77777777" w:rsidR="008935BC" w:rsidRPr="009F0FC1" w:rsidRDefault="008935BC" w:rsidP="008935BC">
      <w:pPr>
        <w:pStyle w:val="ListParagraph"/>
        <w:numPr>
          <w:ilvl w:val="0"/>
          <w:numId w:val="41"/>
        </w:numPr>
      </w:pPr>
      <w:r w:rsidRPr="009F0FC1">
        <w:t>Whether the project adheres to a housing first model.</w:t>
      </w:r>
    </w:p>
    <w:p w14:paraId="15AA2111" w14:textId="77777777" w:rsidR="008935BC" w:rsidRPr="009F0FC1" w:rsidRDefault="008935BC" w:rsidP="008935BC">
      <w:r w:rsidRPr="009F0FC1">
        <w:t xml:space="preserve">For </w:t>
      </w:r>
      <w:r w:rsidRPr="009F0FC1">
        <w:rPr>
          <w:u w:val="single"/>
        </w:rPr>
        <w:t>new SSO projects for centralized or coordinated assessment systems</w:t>
      </w:r>
      <w:r w:rsidRPr="009F0FC1">
        <w:t>, applications must receive at least 2 out of 4 possible points to be funded. Quality threshold factors include:</w:t>
      </w:r>
    </w:p>
    <w:p w14:paraId="3AC338AE" w14:textId="77777777" w:rsidR="008935BC" w:rsidRPr="009F0FC1" w:rsidRDefault="008935BC" w:rsidP="008935BC">
      <w:pPr>
        <w:pStyle w:val="ListParagraph"/>
        <w:numPr>
          <w:ilvl w:val="0"/>
          <w:numId w:val="42"/>
        </w:numPr>
      </w:pPr>
      <w:r w:rsidRPr="009F0FC1">
        <w:t xml:space="preserve">Whether the system is easily accessible to all in the CoC’s geography who are seeking information about homelessness </w:t>
      </w:r>
      <w:proofErr w:type="gramStart"/>
      <w:r w:rsidRPr="009F0FC1">
        <w:t>assistance;</w:t>
      </w:r>
      <w:proofErr w:type="gramEnd"/>
    </w:p>
    <w:p w14:paraId="6E624B31" w14:textId="77777777" w:rsidR="008935BC" w:rsidRPr="009F0FC1" w:rsidRDefault="008935BC" w:rsidP="008935BC">
      <w:pPr>
        <w:pStyle w:val="ListParagraph"/>
        <w:numPr>
          <w:ilvl w:val="0"/>
          <w:numId w:val="42"/>
        </w:numPr>
      </w:pPr>
      <w:r w:rsidRPr="009F0FC1">
        <w:t xml:space="preserve">Whether the advertising strategy is designed to reach persons with the highest </w:t>
      </w:r>
      <w:proofErr w:type="gramStart"/>
      <w:r w:rsidRPr="009F0FC1">
        <w:t>barriers;</w:t>
      </w:r>
      <w:proofErr w:type="gramEnd"/>
    </w:p>
    <w:p w14:paraId="4BEB8ACA" w14:textId="77777777" w:rsidR="008935BC" w:rsidRPr="009F0FC1" w:rsidRDefault="008935BC" w:rsidP="008935BC">
      <w:pPr>
        <w:pStyle w:val="ListParagraph"/>
        <w:numPr>
          <w:ilvl w:val="0"/>
          <w:numId w:val="42"/>
        </w:numPr>
      </w:pPr>
      <w:r w:rsidRPr="009F0FC1">
        <w:t>Whether there is a standardized assessment process; and</w:t>
      </w:r>
    </w:p>
    <w:p w14:paraId="2638481E" w14:textId="77777777" w:rsidR="008935BC" w:rsidRPr="009F0FC1" w:rsidRDefault="008935BC" w:rsidP="008935BC">
      <w:pPr>
        <w:pStyle w:val="ListParagraph"/>
        <w:numPr>
          <w:ilvl w:val="0"/>
          <w:numId w:val="42"/>
        </w:numPr>
      </w:pPr>
      <w:r w:rsidRPr="009F0FC1">
        <w:t>Whether the project ensures participants are directed to housing/services that fit their needs.</w:t>
      </w:r>
    </w:p>
    <w:p w14:paraId="58336D7B" w14:textId="77777777" w:rsidR="008935BC" w:rsidRPr="009F0FC1" w:rsidRDefault="008935BC" w:rsidP="008935BC">
      <w:r w:rsidRPr="009F0FC1">
        <w:t xml:space="preserve">For </w:t>
      </w:r>
      <w:r w:rsidRPr="009F0FC1">
        <w:rPr>
          <w:u w:val="single"/>
        </w:rPr>
        <w:t>new HMIS projects</w:t>
      </w:r>
      <w:r w:rsidRPr="009F0FC1">
        <w:t>, applications must receive at least 3 out of 4 possible points to be funded. Quality threshold factors include:</w:t>
      </w:r>
    </w:p>
    <w:p w14:paraId="47FBE592" w14:textId="77777777" w:rsidR="008935BC" w:rsidRPr="009F0FC1" w:rsidRDefault="008935BC" w:rsidP="008935BC">
      <w:pPr>
        <w:pStyle w:val="ListParagraph"/>
        <w:numPr>
          <w:ilvl w:val="0"/>
          <w:numId w:val="43"/>
        </w:numPr>
      </w:pPr>
      <w:r w:rsidRPr="009F0FC1">
        <w:t xml:space="preserve">How the HMIS funds will be expended in a way that is consistent with the CoC’s funding strategy for the HMIS and furthers the CoC’s HMIS </w:t>
      </w:r>
      <w:proofErr w:type="gramStart"/>
      <w:r w:rsidRPr="009F0FC1">
        <w:t>implementation;</w:t>
      </w:r>
      <w:proofErr w:type="gramEnd"/>
    </w:p>
    <w:p w14:paraId="25A2DC5F" w14:textId="77777777" w:rsidR="008935BC" w:rsidRPr="009F0FC1" w:rsidRDefault="008935BC" w:rsidP="008935BC">
      <w:pPr>
        <w:pStyle w:val="ListParagraph"/>
        <w:numPr>
          <w:ilvl w:val="0"/>
          <w:numId w:val="43"/>
        </w:numPr>
      </w:pPr>
      <w:r w:rsidRPr="009F0FC1">
        <w:t xml:space="preserve">Whether the HMIS collects all Universal Data </w:t>
      </w:r>
      <w:proofErr w:type="gramStart"/>
      <w:r w:rsidRPr="009F0FC1">
        <w:t>Elements;</w:t>
      </w:r>
      <w:proofErr w:type="gramEnd"/>
    </w:p>
    <w:p w14:paraId="73ECE32D" w14:textId="77777777" w:rsidR="008935BC" w:rsidRPr="009F0FC1" w:rsidRDefault="008935BC" w:rsidP="008935BC">
      <w:pPr>
        <w:pStyle w:val="ListParagraph"/>
        <w:numPr>
          <w:ilvl w:val="0"/>
          <w:numId w:val="43"/>
        </w:numPr>
      </w:pPr>
      <w:r w:rsidRPr="009F0FC1">
        <w:t>Whether the HMIS un-duplicates client records; and</w:t>
      </w:r>
    </w:p>
    <w:p w14:paraId="61D43E2A" w14:textId="77777777" w:rsidR="008935BC" w:rsidRPr="009F0FC1" w:rsidRDefault="008935BC" w:rsidP="008935BC">
      <w:pPr>
        <w:pStyle w:val="ListParagraph"/>
        <w:numPr>
          <w:ilvl w:val="0"/>
          <w:numId w:val="43"/>
        </w:numPr>
      </w:pPr>
      <w:r w:rsidRPr="009F0FC1">
        <w:t xml:space="preserve">Whether the HMIS produces all HUD-required reports and </w:t>
      </w:r>
      <w:proofErr w:type="gramStart"/>
      <w:r w:rsidRPr="009F0FC1">
        <w:t>provide</w:t>
      </w:r>
      <w:proofErr w:type="gramEnd"/>
      <w:r w:rsidRPr="009F0FC1">
        <w:t xml:space="preserve"> data as needed for HUD reporting (e.g., APR, quarterly reports, data for CAPER/ESG reporting).</w:t>
      </w:r>
      <w:r w:rsidRPr="009F0FC1">
        <w:tab/>
      </w:r>
      <w:r w:rsidRPr="009F0FC1">
        <w:tab/>
      </w:r>
      <w:r w:rsidRPr="009F0FC1">
        <w:tab/>
      </w:r>
    </w:p>
    <w:p w14:paraId="2661C52C" w14:textId="77777777" w:rsidR="008935BC" w:rsidRPr="009F0FC1" w:rsidRDefault="008935BC" w:rsidP="008935BC">
      <w:r w:rsidRPr="009F0FC1">
        <w:t>Other threshold requirements:</w:t>
      </w:r>
    </w:p>
    <w:p w14:paraId="0FD602C0" w14:textId="77777777" w:rsidR="008935BC" w:rsidRPr="009F0FC1" w:rsidRDefault="008935BC" w:rsidP="008935BC">
      <w:pPr>
        <w:pStyle w:val="ListParagraph"/>
        <w:numPr>
          <w:ilvl w:val="0"/>
          <w:numId w:val="44"/>
        </w:numPr>
      </w:pPr>
      <w:r w:rsidRPr="009F0FC1">
        <w:t>Project applicants and potential subrecipients must have satisfactory capacity, drawdowns, and performance for existing grant(s), as evidenced by timely reimbursement of subrecipients, regular drawdowns, and timely resolution of any monitoring findings.</w:t>
      </w:r>
    </w:p>
    <w:p w14:paraId="20344A75" w14:textId="77777777" w:rsidR="008935BC" w:rsidRPr="009F0FC1" w:rsidRDefault="008935BC" w:rsidP="008935BC">
      <w:pPr>
        <w:pStyle w:val="ListParagraph"/>
        <w:numPr>
          <w:ilvl w:val="0"/>
          <w:numId w:val="44"/>
        </w:numPr>
      </w:pPr>
      <w:r w:rsidRPr="009F0FC1">
        <w:t xml:space="preserve">For expansion projects, project applicants must clearly articulate the part of the project that is being expanded.  Additionally, the project applicants must clearly demonstrate that they are not replacing other funding sources. </w:t>
      </w:r>
    </w:p>
    <w:p w14:paraId="111921A8" w14:textId="77777777" w:rsidR="008935BC" w:rsidRPr="009F0FC1" w:rsidRDefault="008935BC" w:rsidP="008935BC">
      <w:pPr>
        <w:pStyle w:val="ListParagraph"/>
        <w:numPr>
          <w:ilvl w:val="0"/>
          <w:numId w:val="44"/>
        </w:numPr>
      </w:pPr>
      <w:r w:rsidRPr="009F0FC1">
        <w:t xml:space="preserve">Project applicants must demonstrate they will be able to meet all timeliness standards </w:t>
      </w:r>
      <w:proofErr w:type="gramStart"/>
      <w:r w:rsidRPr="009F0FC1">
        <w:t>per</w:t>
      </w:r>
      <w:proofErr w:type="gramEnd"/>
      <w:r w:rsidRPr="009F0FC1">
        <w:t xml:space="preserve"> 24 CFR 578.85. </w:t>
      </w:r>
    </w:p>
    <w:p w14:paraId="0C2CD186" w14:textId="77777777" w:rsidR="008935BC" w:rsidRPr="009F0FC1" w:rsidRDefault="008935BC" w:rsidP="008935BC">
      <w:pPr>
        <w:pStyle w:val="ListParagraph"/>
        <w:numPr>
          <w:ilvl w:val="0"/>
          <w:numId w:val="44"/>
        </w:numPr>
      </w:pPr>
      <w:r w:rsidRPr="009F0FC1">
        <w:t xml:space="preserve">HUD reserves the right to deny the funding request for a new project, if the request is made by an existing recipient that HUD finds to have significant issues related to capacity, performance, or unresolved audit/monitoring finding related to one or more existing grants. Additionally, HUD reserves the right to withdraw funds if no APR is submitted on the prior grant. </w:t>
      </w:r>
    </w:p>
    <w:p w14:paraId="2E6EAA98" w14:textId="77777777" w:rsidR="008935BC" w:rsidRPr="009F0FC1" w:rsidRDefault="008935BC" w:rsidP="008935BC">
      <w:pPr>
        <w:pStyle w:val="ListParagraph"/>
        <w:numPr>
          <w:ilvl w:val="0"/>
          <w:numId w:val="44"/>
        </w:numPr>
      </w:pPr>
      <w:r w:rsidRPr="009F0FC1">
        <w:t>All projects must have a UEI number and active registration in SAM.</w:t>
      </w:r>
      <w:r w:rsidRPr="009F0FC1">
        <w:tab/>
      </w:r>
    </w:p>
    <w:p w14:paraId="6456AA12" w14:textId="4433CA2B" w:rsidR="00D86C89" w:rsidRPr="005F43AC" w:rsidRDefault="00D86C89" w:rsidP="00715180">
      <w:pPr>
        <w:pBdr>
          <w:bottom w:val="single" w:sz="12" w:space="1" w:color="auto"/>
        </w:pBdr>
        <w:tabs>
          <w:tab w:val="left" w:pos="2790"/>
        </w:tabs>
      </w:pPr>
    </w:p>
    <w:p w14:paraId="39FAEE80" w14:textId="77777777" w:rsidR="00D036D5" w:rsidRDefault="00D036D5" w:rsidP="00D036D5">
      <w:pPr>
        <w:pBdr>
          <w:bottom w:val="single" w:sz="12" w:space="1" w:color="auto"/>
        </w:pBdr>
        <w:tabs>
          <w:tab w:val="left" w:pos="2790"/>
        </w:tabs>
        <w:jc w:val="center"/>
        <w:rPr>
          <w:sz w:val="32"/>
          <w:szCs w:val="32"/>
        </w:rPr>
      </w:pPr>
      <w:r>
        <w:rPr>
          <w:sz w:val="32"/>
          <w:szCs w:val="32"/>
        </w:rPr>
        <w:t>Program Requirements</w:t>
      </w:r>
      <w:r w:rsidR="00463B5B">
        <w:rPr>
          <w:sz w:val="32"/>
          <w:szCs w:val="32"/>
        </w:rPr>
        <w:t xml:space="preserve"> and Eligible Costs</w:t>
      </w:r>
    </w:p>
    <w:p w14:paraId="6A9C696F" w14:textId="77777777" w:rsidR="00C9713A" w:rsidRDefault="005F43AC" w:rsidP="005F43AC">
      <w:pPr>
        <w:tabs>
          <w:tab w:val="left" w:pos="2790"/>
        </w:tabs>
      </w:pPr>
      <w:r>
        <w:t>Recipients</w:t>
      </w:r>
      <w:r w:rsidR="00C9713A">
        <w:t xml:space="preserve"> </w:t>
      </w:r>
      <w:r>
        <w:t>and</w:t>
      </w:r>
      <w:r w:rsidR="00C9713A">
        <w:t xml:space="preserve"> </w:t>
      </w:r>
      <w:r>
        <w:t>subrecipients</w:t>
      </w:r>
      <w:r w:rsidR="00C9713A">
        <w:t xml:space="preserve"> </w:t>
      </w:r>
      <w:r>
        <w:t>are</w:t>
      </w:r>
      <w:r w:rsidR="00C9713A">
        <w:t xml:space="preserve"> </w:t>
      </w:r>
      <w:r>
        <w:t>required</w:t>
      </w:r>
      <w:r w:rsidR="00C9713A">
        <w:t xml:space="preserve"> </w:t>
      </w:r>
      <w:r>
        <w:t>to</w:t>
      </w:r>
      <w:r w:rsidR="00C9713A">
        <w:t xml:space="preserve"> </w:t>
      </w:r>
      <w:r>
        <w:t>provide</w:t>
      </w:r>
      <w:r w:rsidR="00C9713A">
        <w:t xml:space="preserve"> </w:t>
      </w:r>
      <w:r>
        <w:t>cash</w:t>
      </w:r>
      <w:r w:rsidR="00C9713A">
        <w:t xml:space="preserve"> </w:t>
      </w:r>
      <w:r>
        <w:t>or</w:t>
      </w:r>
      <w:r w:rsidR="00C9713A">
        <w:t xml:space="preserve"> </w:t>
      </w:r>
      <w:r>
        <w:t>in-kind</w:t>
      </w:r>
      <w:r w:rsidR="00C9713A">
        <w:t xml:space="preserve"> </w:t>
      </w:r>
      <w:r>
        <w:t>match</w:t>
      </w:r>
      <w:r w:rsidR="00C9713A">
        <w:t xml:space="preserve"> </w:t>
      </w:r>
      <w:r>
        <w:t>from</w:t>
      </w:r>
      <w:r w:rsidR="00C9713A">
        <w:t xml:space="preserve"> </w:t>
      </w:r>
      <w:r>
        <w:t>sources</w:t>
      </w:r>
      <w:r w:rsidR="00C9713A">
        <w:t xml:space="preserve"> </w:t>
      </w:r>
      <w:r>
        <w:t>outside</w:t>
      </w:r>
      <w:r w:rsidR="00C9713A">
        <w:t xml:space="preserve"> </w:t>
      </w:r>
      <w:r>
        <w:t>of</w:t>
      </w:r>
      <w:r w:rsidR="00C9713A">
        <w:t xml:space="preserve"> </w:t>
      </w:r>
      <w:r>
        <w:t>this</w:t>
      </w:r>
      <w:r w:rsidR="00C9713A">
        <w:t xml:space="preserve"> </w:t>
      </w:r>
      <w:r>
        <w:t>grant</w:t>
      </w:r>
      <w:r w:rsidR="00C9713A">
        <w:t xml:space="preserve"> </w:t>
      </w:r>
      <w:r>
        <w:t>funding</w:t>
      </w:r>
      <w:r w:rsidR="00C9713A">
        <w:t xml:space="preserve"> </w:t>
      </w:r>
      <w:r>
        <w:t>request</w:t>
      </w:r>
      <w:r w:rsidR="00C9713A">
        <w:t xml:space="preserve"> </w:t>
      </w:r>
      <w:r>
        <w:t>in</w:t>
      </w:r>
      <w:r w:rsidR="00C9713A">
        <w:t xml:space="preserve"> </w:t>
      </w:r>
      <w:r>
        <w:t>accordance</w:t>
      </w:r>
      <w:r w:rsidR="00C9713A">
        <w:t xml:space="preserve"> </w:t>
      </w:r>
      <w:r>
        <w:t>with</w:t>
      </w:r>
      <w:r w:rsidR="00C9713A">
        <w:t xml:space="preserve"> </w:t>
      </w:r>
      <w:r>
        <w:t>the</w:t>
      </w:r>
      <w:r w:rsidR="00C9713A">
        <w:t xml:space="preserve"> </w:t>
      </w:r>
      <w:r>
        <w:t>CoC</w:t>
      </w:r>
      <w:r w:rsidR="00C9713A">
        <w:t xml:space="preserve"> </w:t>
      </w:r>
      <w:r>
        <w:t>regulations.</w:t>
      </w:r>
    </w:p>
    <w:p w14:paraId="0D85A55D" w14:textId="77777777" w:rsidR="00576EAC" w:rsidRDefault="005F43AC" w:rsidP="000279D9">
      <w:pPr>
        <w:tabs>
          <w:tab w:val="left" w:pos="2790"/>
        </w:tabs>
      </w:pPr>
      <w:r>
        <w:t>The</w:t>
      </w:r>
      <w:r w:rsidR="00C9713A">
        <w:t xml:space="preserve"> </w:t>
      </w:r>
      <w:r>
        <w:t>recipient</w:t>
      </w:r>
      <w:r w:rsidR="00C9713A">
        <w:t xml:space="preserve"> </w:t>
      </w:r>
      <w:r>
        <w:t>or</w:t>
      </w:r>
      <w:r w:rsidR="00C9713A">
        <w:t xml:space="preserve"> </w:t>
      </w:r>
      <w:r>
        <w:t>subrecipient</w:t>
      </w:r>
      <w:r w:rsidR="00C9713A">
        <w:t xml:space="preserve"> </w:t>
      </w:r>
      <w:r>
        <w:t>must</w:t>
      </w:r>
      <w:r w:rsidR="00C9713A">
        <w:t xml:space="preserve"> </w:t>
      </w:r>
      <w:r>
        <w:t>match</w:t>
      </w:r>
      <w:r w:rsidR="00C9713A">
        <w:t xml:space="preserve"> </w:t>
      </w:r>
      <w:r>
        <w:t>all</w:t>
      </w:r>
      <w:r w:rsidR="00C9713A">
        <w:t xml:space="preserve"> </w:t>
      </w:r>
      <w:r>
        <w:t>grant</w:t>
      </w:r>
      <w:r w:rsidR="00C9713A">
        <w:t xml:space="preserve"> </w:t>
      </w:r>
      <w:r>
        <w:t>funds,</w:t>
      </w:r>
      <w:r w:rsidR="00C9713A">
        <w:t xml:space="preserve"> </w:t>
      </w:r>
      <w:r>
        <w:t>except</w:t>
      </w:r>
      <w:r w:rsidR="00C9713A">
        <w:t xml:space="preserve"> </w:t>
      </w:r>
      <w:r>
        <w:t>for</w:t>
      </w:r>
      <w:r w:rsidR="00C9713A">
        <w:t xml:space="preserve"> </w:t>
      </w:r>
      <w:r>
        <w:t>leasing</w:t>
      </w:r>
      <w:r w:rsidR="00C9713A">
        <w:t xml:space="preserve"> </w:t>
      </w:r>
      <w:r>
        <w:t>funds,</w:t>
      </w:r>
      <w:r w:rsidR="00C9713A">
        <w:t xml:space="preserve"> </w:t>
      </w:r>
      <w:r>
        <w:t>with</w:t>
      </w:r>
      <w:r w:rsidR="00C9713A">
        <w:t xml:space="preserve"> </w:t>
      </w:r>
      <w:r>
        <w:t>no</w:t>
      </w:r>
      <w:r w:rsidR="00C9713A">
        <w:t xml:space="preserve"> </w:t>
      </w:r>
      <w:r>
        <w:t>less</w:t>
      </w:r>
      <w:r w:rsidR="00C9713A">
        <w:t xml:space="preserve"> </w:t>
      </w:r>
      <w:r>
        <w:t>than</w:t>
      </w:r>
      <w:r w:rsidR="00C9713A">
        <w:t xml:space="preserve"> </w:t>
      </w:r>
      <w:r>
        <w:t>25</w:t>
      </w:r>
      <w:r w:rsidR="00C9713A">
        <w:t xml:space="preserve"> </w:t>
      </w:r>
      <w:r>
        <w:t>percent</w:t>
      </w:r>
      <w:r w:rsidR="00C9713A">
        <w:t xml:space="preserve"> </w:t>
      </w:r>
      <w:r>
        <w:t>of</w:t>
      </w:r>
      <w:r w:rsidR="00C9713A">
        <w:t xml:space="preserve"> </w:t>
      </w:r>
      <w:r>
        <w:t>funds</w:t>
      </w:r>
      <w:r w:rsidR="00576EAC">
        <w:t xml:space="preserve"> </w:t>
      </w:r>
      <w:r>
        <w:t>or</w:t>
      </w:r>
      <w:r w:rsidR="00576EAC">
        <w:t xml:space="preserve"> </w:t>
      </w:r>
      <w:r>
        <w:t>in-kind</w:t>
      </w:r>
      <w:r w:rsidR="00576EAC">
        <w:t xml:space="preserve"> </w:t>
      </w:r>
      <w:r>
        <w:t>contributions</w:t>
      </w:r>
      <w:r w:rsidR="00576EAC">
        <w:t xml:space="preserve"> </w:t>
      </w:r>
      <w:r>
        <w:t>from</w:t>
      </w:r>
      <w:r w:rsidR="00576EAC">
        <w:t xml:space="preserve"> </w:t>
      </w:r>
      <w:r>
        <w:t>other</w:t>
      </w:r>
      <w:r w:rsidR="00576EAC">
        <w:t xml:space="preserve"> </w:t>
      </w:r>
      <w:r>
        <w:t>sources.</w:t>
      </w:r>
      <w:r w:rsidR="00576EAC">
        <w:t xml:space="preserve"> </w:t>
      </w:r>
      <w:r>
        <w:t>The</w:t>
      </w:r>
      <w:r w:rsidR="00576EAC">
        <w:t xml:space="preserve"> </w:t>
      </w:r>
      <w:r>
        <w:t>25</w:t>
      </w:r>
      <w:r w:rsidR="00576EAC">
        <w:t xml:space="preserve"> </w:t>
      </w:r>
      <w:r>
        <w:t>percent</w:t>
      </w:r>
      <w:r w:rsidR="00576EAC">
        <w:t xml:space="preserve"> </w:t>
      </w:r>
      <w:r>
        <w:t>match</w:t>
      </w:r>
      <w:r w:rsidR="00576EAC">
        <w:t xml:space="preserve"> </w:t>
      </w:r>
      <w:r>
        <w:t>must</w:t>
      </w:r>
      <w:r w:rsidR="00576EAC">
        <w:t xml:space="preserve"> </w:t>
      </w:r>
      <w:r>
        <w:t>be</w:t>
      </w:r>
      <w:r w:rsidR="00576EAC">
        <w:t xml:space="preserve"> </w:t>
      </w:r>
      <w:r>
        <w:t>provided</w:t>
      </w:r>
      <w:r w:rsidR="00576EAC">
        <w:t xml:space="preserve"> </w:t>
      </w:r>
      <w:r>
        <w:t>on</w:t>
      </w:r>
      <w:r w:rsidR="00576EAC">
        <w:t xml:space="preserve"> </w:t>
      </w:r>
      <w:r>
        <w:t>a</w:t>
      </w:r>
      <w:r w:rsidR="00576EAC">
        <w:t xml:space="preserve"> </w:t>
      </w:r>
      <w:r>
        <w:t>grant-by-grant</w:t>
      </w:r>
      <w:r w:rsidR="00576EAC">
        <w:t xml:space="preserve"> </w:t>
      </w:r>
      <w:r>
        <w:t>basis.</w:t>
      </w:r>
    </w:p>
    <w:p w14:paraId="5B2592B0" w14:textId="77777777" w:rsidR="00576EAC" w:rsidRDefault="005F43AC" w:rsidP="000279D9">
      <w:pPr>
        <w:tabs>
          <w:tab w:val="left" w:pos="2790"/>
        </w:tabs>
      </w:pPr>
      <w:r w:rsidRPr="000279D9">
        <w:rPr>
          <w:b/>
          <w:u w:val="single"/>
        </w:rPr>
        <w:t>Cash</w:t>
      </w:r>
      <w:r w:rsidR="00576EAC" w:rsidRPr="000279D9">
        <w:rPr>
          <w:b/>
          <w:u w:val="single"/>
        </w:rPr>
        <w:t xml:space="preserve"> </w:t>
      </w:r>
      <w:r w:rsidRPr="000279D9">
        <w:rPr>
          <w:b/>
          <w:u w:val="single"/>
        </w:rPr>
        <w:t>Match</w:t>
      </w:r>
      <w:r>
        <w:t>:</w:t>
      </w:r>
      <w:r w:rsidR="00576EAC">
        <w:t xml:space="preserve"> </w:t>
      </w:r>
      <w:r>
        <w:t>A</w:t>
      </w:r>
      <w:r w:rsidR="00576EAC">
        <w:t xml:space="preserve"> </w:t>
      </w:r>
      <w:r>
        <w:t>recipient</w:t>
      </w:r>
      <w:r w:rsidR="00576EAC">
        <w:t xml:space="preserve"> </w:t>
      </w:r>
      <w:r>
        <w:t>or</w:t>
      </w:r>
      <w:r w:rsidR="00576EAC">
        <w:t xml:space="preserve"> </w:t>
      </w:r>
      <w:r>
        <w:t>subrecipient</w:t>
      </w:r>
      <w:r w:rsidR="00576EAC">
        <w:t xml:space="preserve"> </w:t>
      </w:r>
      <w:r>
        <w:t>may</w:t>
      </w:r>
      <w:r w:rsidR="00576EAC">
        <w:t xml:space="preserve"> </w:t>
      </w:r>
      <w:r>
        <w:t>use</w:t>
      </w:r>
      <w:r w:rsidR="00576EAC">
        <w:t xml:space="preserve"> </w:t>
      </w:r>
      <w:r>
        <w:t>funds</w:t>
      </w:r>
      <w:r w:rsidR="00576EAC">
        <w:t xml:space="preserve"> </w:t>
      </w:r>
      <w:r>
        <w:t>from</w:t>
      </w:r>
      <w:r w:rsidR="00576EAC">
        <w:t xml:space="preserve"> </w:t>
      </w:r>
      <w:r>
        <w:t>any</w:t>
      </w:r>
      <w:r w:rsidR="00576EAC">
        <w:t xml:space="preserve"> </w:t>
      </w:r>
      <w:r>
        <w:t>source,</w:t>
      </w:r>
      <w:r w:rsidR="00576EAC">
        <w:t xml:space="preserve"> </w:t>
      </w:r>
      <w:r>
        <w:t>including</w:t>
      </w:r>
      <w:r w:rsidR="00576EAC">
        <w:t xml:space="preserve"> </w:t>
      </w:r>
      <w:r>
        <w:t>any</w:t>
      </w:r>
      <w:r w:rsidR="00576EAC">
        <w:t xml:space="preserve"> </w:t>
      </w:r>
      <w:r>
        <w:t>other</w:t>
      </w:r>
      <w:r w:rsidR="00576EAC">
        <w:t xml:space="preserve"> </w:t>
      </w:r>
      <w:r>
        <w:t>federal</w:t>
      </w:r>
      <w:r w:rsidR="00576EAC">
        <w:t xml:space="preserve"> </w:t>
      </w:r>
      <w:r>
        <w:t>sources</w:t>
      </w:r>
      <w:r w:rsidR="00576EAC">
        <w:t xml:space="preserve"> </w:t>
      </w:r>
      <w:r>
        <w:t>(excluding</w:t>
      </w:r>
      <w:r w:rsidR="00576EAC">
        <w:t xml:space="preserve"> </w:t>
      </w:r>
      <w:r>
        <w:t>Continuum</w:t>
      </w:r>
      <w:r w:rsidR="00576EAC">
        <w:t xml:space="preserve"> </w:t>
      </w:r>
      <w:r>
        <w:t>of</w:t>
      </w:r>
      <w:r w:rsidR="00576EAC">
        <w:t xml:space="preserve"> </w:t>
      </w:r>
      <w:r>
        <w:t>Care</w:t>
      </w:r>
      <w:r w:rsidR="00576EAC">
        <w:t xml:space="preserve"> </w:t>
      </w:r>
      <w:r>
        <w:t>program</w:t>
      </w:r>
      <w:r w:rsidR="00576EAC">
        <w:t xml:space="preserve"> </w:t>
      </w:r>
      <w:r>
        <w:t>funds),</w:t>
      </w:r>
      <w:r w:rsidR="00576EAC">
        <w:t xml:space="preserve"> </w:t>
      </w:r>
      <w:r>
        <w:t>as</w:t>
      </w:r>
      <w:r w:rsidR="00576EAC">
        <w:t xml:space="preserve"> </w:t>
      </w:r>
      <w:r>
        <w:t>well</w:t>
      </w:r>
      <w:r w:rsidR="00576EAC">
        <w:t xml:space="preserve"> </w:t>
      </w:r>
      <w:r>
        <w:t>as</w:t>
      </w:r>
      <w:r w:rsidR="00576EAC">
        <w:t xml:space="preserve"> </w:t>
      </w:r>
      <w:r>
        <w:t>State,</w:t>
      </w:r>
      <w:r w:rsidR="00576EAC">
        <w:t xml:space="preserve"> </w:t>
      </w:r>
      <w:r>
        <w:t>local,</w:t>
      </w:r>
      <w:r w:rsidR="00576EAC">
        <w:t xml:space="preserve"> </w:t>
      </w:r>
      <w:r>
        <w:t>and</w:t>
      </w:r>
      <w:r w:rsidR="00576EAC">
        <w:t xml:space="preserve"> </w:t>
      </w:r>
      <w:r>
        <w:t>private</w:t>
      </w:r>
      <w:r w:rsidR="00576EAC">
        <w:t xml:space="preserve"> </w:t>
      </w:r>
      <w:r>
        <w:t>sources,</w:t>
      </w:r>
      <w:r w:rsidR="00576EAC">
        <w:t xml:space="preserve"> </w:t>
      </w:r>
      <w:proofErr w:type="gramStart"/>
      <w:r>
        <w:t>provided</w:t>
      </w:r>
      <w:r w:rsidR="00576EAC">
        <w:t xml:space="preserve"> </w:t>
      </w:r>
      <w:r>
        <w:t>that</w:t>
      </w:r>
      <w:proofErr w:type="gramEnd"/>
      <w:r w:rsidR="00576EAC">
        <w:t xml:space="preserve"> </w:t>
      </w:r>
      <w:r>
        <w:t>funds</w:t>
      </w:r>
      <w:r w:rsidR="00576EAC">
        <w:t xml:space="preserve"> </w:t>
      </w:r>
      <w:r>
        <w:t>from</w:t>
      </w:r>
      <w:r w:rsidR="00576EAC">
        <w:t xml:space="preserve"> </w:t>
      </w:r>
      <w:r>
        <w:t>the</w:t>
      </w:r>
      <w:r w:rsidR="00576EAC">
        <w:t xml:space="preserve"> </w:t>
      </w:r>
      <w:r>
        <w:t>source</w:t>
      </w:r>
      <w:r w:rsidR="00576EAC">
        <w:t xml:space="preserve"> </w:t>
      </w:r>
      <w:r>
        <w:t>are</w:t>
      </w:r>
      <w:r w:rsidR="00576EAC">
        <w:t xml:space="preserve"> </w:t>
      </w:r>
      <w:r>
        <w:t>not</w:t>
      </w:r>
      <w:r w:rsidR="00576EAC">
        <w:t xml:space="preserve"> </w:t>
      </w:r>
      <w:r>
        <w:t>statutorily</w:t>
      </w:r>
      <w:r w:rsidR="00576EAC">
        <w:t xml:space="preserve"> </w:t>
      </w:r>
      <w:r>
        <w:t>prohibited</w:t>
      </w:r>
      <w:r w:rsidR="00576EAC">
        <w:t xml:space="preserve"> </w:t>
      </w:r>
      <w:r>
        <w:t>to</w:t>
      </w:r>
      <w:r w:rsidR="00576EAC">
        <w:t xml:space="preserve"> </w:t>
      </w:r>
      <w:r>
        <w:t>be</w:t>
      </w:r>
      <w:r w:rsidR="00576EAC">
        <w:t xml:space="preserve"> </w:t>
      </w:r>
      <w:r>
        <w:t>used</w:t>
      </w:r>
      <w:r w:rsidR="00576EAC">
        <w:t xml:space="preserve"> </w:t>
      </w:r>
      <w:r>
        <w:t>as</w:t>
      </w:r>
      <w:r w:rsidR="00576EAC">
        <w:t xml:space="preserve"> </w:t>
      </w:r>
      <w:r>
        <w:t>a</w:t>
      </w:r>
      <w:r w:rsidR="00576EAC">
        <w:t xml:space="preserve"> </w:t>
      </w:r>
      <w:r>
        <w:t>match.</w:t>
      </w:r>
      <w:r w:rsidR="00576EAC">
        <w:t xml:space="preserve"> </w:t>
      </w:r>
      <w:r>
        <w:t>(The</w:t>
      </w:r>
      <w:r w:rsidR="00576EAC">
        <w:t xml:space="preserve"> </w:t>
      </w:r>
      <w:r>
        <w:t>recipient</w:t>
      </w:r>
      <w:r w:rsidR="00576EAC">
        <w:t xml:space="preserve"> </w:t>
      </w:r>
      <w:r>
        <w:t>must</w:t>
      </w:r>
      <w:r w:rsidR="00576EAC">
        <w:t xml:space="preserve"> </w:t>
      </w:r>
      <w:r>
        <w:t>ensure</w:t>
      </w:r>
      <w:r w:rsidR="00576EAC">
        <w:t xml:space="preserve"> </w:t>
      </w:r>
      <w:r>
        <w:t>that</w:t>
      </w:r>
      <w:r w:rsidR="00576EAC">
        <w:t xml:space="preserve"> </w:t>
      </w:r>
      <w:r>
        <w:t>the</w:t>
      </w:r>
      <w:r w:rsidR="00576EAC">
        <w:t xml:space="preserve"> </w:t>
      </w:r>
      <w:r>
        <w:t>rules</w:t>
      </w:r>
      <w:r w:rsidR="00576EAC">
        <w:t xml:space="preserve"> </w:t>
      </w:r>
      <w:r>
        <w:t>governing</w:t>
      </w:r>
      <w:r w:rsidR="00576EAC">
        <w:t xml:space="preserve"> </w:t>
      </w:r>
      <w:r>
        <w:t>match</w:t>
      </w:r>
      <w:r w:rsidR="00576EAC">
        <w:t xml:space="preserve"> </w:t>
      </w:r>
      <w:r>
        <w:t>funds</w:t>
      </w:r>
      <w:r w:rsidR="00576EAC">
        <w:t xml:space="preserve"> </w:t>
      </w:r>
      <w:r>
        <w:t>allow</w:t>
      </w:r>
      <w:r w:rsidR="00576EAC">
        <w:t xml:space="preserve"> </w:t>
      </w:r>
      <w:r>
        <w:t>them</w:t>
      </w:r>
      <w:r w:rsidR="00576EAC">
        <w:t xml:space="preserve"> </w:t>
      </w:r>
      <w:r>
        <w:t>to</w:t>
      </w:r>
      <w:r w:rsidR="00576EAC">
        <w:t xml:space="preserve"> be </w:t>
      </w:r>
      <w:r>
        <w:t>match</w:t>
      </w:r>
      <w:r w:rsidR="00576EAC">
        <w:t xml:space="preserve"> </w:t>
      </w:r>
      <w:r>
        <w:t>for</w:t>
      </w:r>
      <w:r w:rsidR="00576EAC">
        <w:t xml:space="preserve"> </w:t>
      </w:r>
      <w:r>
        <w:t>the</w:t>
      </w:r>
      <w:r w:rsidR="00576EAC">
        <w:t xml:space="preserve"> </w:t>
      </w:r>
      <w:r>
        <w:t>CoC</w:t>
      </w:r>
      <w:r w:rsidR="00576EAC">
        <w:t xml:space="preserve"> </w:t>
      </w:r>
      <w:r>
        <w:t>Program</w:t>
      </w:r>
      <w:r w:rsidR="00576EAC">
        <w:t>.)</w:t>
      </w:r>
    </w:p>
    <w:p w14:paraId="4B7942BA" w14:textId="77777777" w:rsidR="000279D9" w:rsidRDefault="005F43AC" w:rsidP="000279D9">
      <w:pPr>
        <w:tabs>
          <w:tab w:val="left" w:pos="2790"/>
        </w:tabs>
      </w:pPr>
      <w:r>
        <w:t>The</w:t>
      </w:r>
      <w:r w:rsidR="00576EAC">
        <w:t xml:space="preserve"> </w:t>
      </w:r>
      <w:r>
        <w:t>cash</w:t>
      </w:r>
      <w:r w:rsidR="00576EAC">
        <w:t xml:space="preserve"> </w:t>
      </w:r>
      <w:r>
        <w:t>must</w:t>
      </w:r>
      <w:r w:rsidR="00576EAC">
        <w:t xml:space="preserve"> </w:t>
      </w:r>
      <w:r>
        <w:t>be</w:t>
      </w:r>
      <w:r w:rsidR="00576EAC">
        <w:t xml:space="preserve"> </w:t>
      </w:r>
      <w:r>
        <w:t>used</w:t>
      </w:r>
      <w:r w:rsidR="00576EAC">
        <w:t xml:space="preserve"> </w:t>
      </w:r>
      <w:r>
        <w:t>for</w:t>
      </w:r>
      <w:r w:rsidR="00576EAC">
        <w:t xml:space="preserve"> </w:t>
      </w:r>
      <w:r>
        <w:t>activities</w:t>
      </w:r>
      <w:r w:rsidR="00576EAC">
        <w:t xml:space="preserve"> </w:t>
      </w:r>
      <w:r>
        <w:t>that</w:t>
      </w:r>
      <w:r w:rsidR="00576EAC">
        <w:t xml:space="preserve"> </w:t>
      </w:r>
      <w:r>
        <w:t>are</w:t>
      </w:r>
      <w:r w:rsidR="00576EAC">
        <w:t xml:space="preserve"> </w:t>
      </w:r>
      <w:r>
        <w:t>eligible</w:t>
      </w:r>
      <w:r w:rsidR="00576EAC">
        <w:t xml:space="preserve"> </w:t>
      </w:r>
      <w:r>
        <w:t>under</w:t>
      </w:r>
      <w:r w:rsidR="00576EAC">
        <w:t xml:space="preserve"> </w:t>
      </w:r>
      <w:r>
        <w:t>Subpart</w:t>
      </w:r>
      <w:r w:rsidR="00576EAC">
        <w:t xml:space="preserve"> </w:t>
      </w:r>
      <w:r>
        <w:t>D</w:t>
      </w:r>
      <w:r w:rsidR="00576EAC">
        <w:t xml:space="preserve"> </w:t>
      </w:r>
      <w:r>
        <w:t>of</w:t>
      </w:r>
      <w:r w:rsidR="00576EAC">
        <w:t xml:space="preserve"> </w:t>
      </w:r>
      <w:r>
        <w:t>the</w:t>
      </w:r>
      <w:r w:rsidR="00576EAC">
        <w:t xml:space="preserve"> </w:t>
      </w:r>
      <w:r>
        <w:t>CoC</w:t>
      </w:r>
      <w:r>
        <w:tab/>
        <w:t>Interim</w:t>
      </w:r>
      <w:r>
        <w:tab/>
        <w:t>Rule.</w:t>
      </w:r>
    </w:p>
    <w:p w14:paraId="0601BCC7" w14:textId="77777777" w:rsidR="005F43AC" w:rsidRDefault="005F43AC" w:rsidP="005F43AC">
      <w:pPr>
        <w:tabs>
          <w:tab w:val="left" w:pos="2790"/>
        </w:tabs>
      </w:pPr>
      <w:r>
        <w:t>NOTE:</w:t>
      </w:r>
      <w:r w:rsidR="000279D9">
        <w:t xml:space="preserve"> </w:t>
      </w:r>
      <w:r>
        <w:t>Program</w:t>
      </w:r>
      <w:r w:rsidR="000279D9">
        <w:t xml:space="preserve"> </w:t>
      </w:r>
      <w:r>
        <w:t>income</w:t>
      </w:r>
      <w:r w:rsidR="000279D9">
        <w:t xml:space="preserve"> </w:t>
      </w:r>
      <w:r>
        <w:t>CAN</w:t>
      </w:r>
      <w:r w:rsidR="000279D9">
        <w:t xml:space="preserve"> </w:t>
      </w:r>
      <w:r>
        <w:t>be</w:t>
      </w:r>
      <w:r w:rsidR="000279D9">
        <w:t xml:space="preserve"> </w:t>
      </w:r>
      <w:r>
        <w:t>used</w:t>
      </w:r>
      <w:r w:rsidR="000279D9">
        <w:t xml:space="preserve"> </w:t>
      </w:r>
      <w:r>
        <w:t>as</w:t>
      </w:r>
      <w:r w:rsidR="000279D9">
        <w:t xml:space="preserve"> </w:t>
      </w:r>
      <w:r>
        <w:t>match.</w:t>
      </w:r>
      <w:r w:rsidR="000279D9">
        <w:t xml:space="preserve"> </w:t>
      </w:r>
      <w:r>
        <w:t>Project</w:t>
      </w:r>
      <w:r w:rsidR="000279D9">
        <w:t xml:space="preserve"> </w:t>
      </w:r>
      <w:r>
        <w:t>applicants</w:t>
      </w:r>
      <w:r w:rsidR="000279D9">
        <w:t xml:space="preserve"> </w:t>
      </w:r>
      <w:r>
        <w:t>that</w:t>
      </w:r>
      <w:r w:rsidR="000279D9">
        <w:t xml:space="preserve"> </w:t>
      </w:r>
      <w:r>
        <w:t>intend</w:t>
      </w:r>
      <w:r w:rsidR="000279D9">
        <w:t xml:space="preserve"> </w:t>
      </w:r>
      <w:r>
        <w:t>to</w:t>
      </w:r>
      <w:r w:rsidR="000279D9">
        <w:t xml:space="preserve"> </w:t>
      </w:r>
      <w:r>
        <w:t>use</w:t>
      </w:r>
      <w:r w:rsidR="000279D9">
        <w:t xml:space="preserve"> </w:t>
      </w:r>
      <w:r>
        <w:t>program</w:t>
      </w:r>
      <w:r w:rsidR="000279D9">
        <w:t xml:space="preserve"> </w:t>
      </w:r>
      <w:r>
        <w:t>income</w:t>
      </w:r>
      <w:r w:rsidR="000279D9">
        <w:t xml:space="preserve"> </w:t>
      </w:r>
      <w:r>
        <w:t>as</w:t>
      </w:r>
      <w:r w:rsidR="000279D9">
        <w:t xml:space="preserve"> </w:t>
      </w:r>
      <w:r>
        <w:t>match</w:t>
      </w:r>
      <w:r w:rsidR="000279D9">
        <w:t xml:space="preserve"> </w:t>
      </w:r>
      <w:r>
        <w:t>must</w:t>
      </w:r>
      <w:r w:rsidR="000279D9">
        <w:t xml:space="preserve"> </w:t>
      </w:r>
      <w:r>
        <w:t>provide</w:t>
      </w:r>
      <w:r w:rsidR="000279D9">
        <w:t xml:space="preserve"> </w:t>
      </w:r>
      <w:r>
        <w:t>an</w:t>
      </w:r>
      <w:r w:rsidR="000279D9">
        <w:t xml:space="preserve"> </w:t>
      </w:r>
      <w:r>
        <w:t>estimate</w:t>
      </w:r>
      <w:r w:rsidR="000279D9">
        <w:t xml:space="preserve"> </w:t>
      </w:r>
      <w:r>
        <w:t>of</w:t>
      </w:r>
      <w:r w:rsidR="000279D9">
        <w:t xml:space="preserve"> </w:t>
      </w:r>
      <w:r>
        <w:t>how</w:t>
      </w:r>
      <w:r w:rsidR="000279D9">
        <w:t xml:space="preserve"> </w:t>
      </w:r>
      <w:r>
        <w:t>much</w:t>
      </w:r>
      <w:r w:rsidR="000279D9">
        <w:t xml:space="preserve"> </w:t>
      </w:r>
      <w:r>
        <w:t>program</w:t>
      </w:r>
      <w:r w:rsidR="000279D9">
        <w:t xml:space="preserve"> </w:t>
      </w:r>
      <w:r>
        <w:t>income</w:t>
      </w:r>
      <w:r w:rsidR="000279D9">
        <w:t xml:space="preserve"> </w:t>
      </w:r>
      <w:r>
        <w:t>will</w:t>
      </w:r>
      <w:r w:rsidR="000279D9">
        <w:t xml:space="preserve"> </w:t>
      </w:r>
      <w:r>
        <w:t>be</w:t>
      </w:r>
      <w:r w:rsidR="000279D9">
        <w:t xml:space="preserve"> </w:t>
      </w:r>
      <w:r>
        <w:t>used</w:t>
      </w:r>
      <w:r w:rsidR="000279D9">
        <w:t xml:space="preserve"> </w:t>
      </w:r>
      <w:r>
        <w:t>for</w:t>
      </w:r>
      <w:r w:rsidR="000279D9">
        <w:t xml:space="preserve"> </w:t>
      </w:r>
      <w:r>
        <w:t>match.</w:t>
      </w:r>
      <w:r>
        <w:tab/>
      </w:r>
      <w:r>
        <w:tab/>
      </w:r>
    </w:p>
    <w:p w14:paraId="0BB3E4A7" w14:textId="77777777" w:rsidR="000279D9" w:rsidRDefault="005F43AC" w:rsidP="005F43AC">
      <w:pPr>
        <w:tabs>
          <w:tab w:val="left" w:pos="2790"/>
        </w:tabs>
      </w:pPr>
      <w:r>
        <w:t xml:space="preserve"> </w:t>
      </w:r>
      <w:r w:rsidRPr="000279D9">
        <w:rPr>
          <w:b/>
          <w:u w:val="single"/>
        </w:rPr>
        <w:t>In-kind</w:t>
      </w:r>
      <w:r w:rsidR="000279D9" w:rsidRPr="000279D9">
        <w:rPr>
          <w:b/>
          <w:u w:val="single"/>
        </w:rPr>
        <w:t xml:space="preserve"> </w:t>
      </w:r>
      <w:r w:rsidRPr="000279D9">
        <w:rPr>
          <w:b/>
          <w:u w:val="single"/>
        </w:rPr>
        <w:t>Match</w:t>
      </w:r>
      <w:r>
        <w:t>:</w:t>
      </w:r>
      <w:r w:rsidR="000279D9">
        <w:t xml:space="preserve"> </w:t>
      </w:r>
      <w:r>
        <w:t>The</w:t>
      </w:r>
      <w:r w:rsidR="000279D9">
        <w:t xml:space="preserve"> </w:t>
      </w:r>
      <w:r>
        <w:t>recipient</w:t>
      </w:r>
      <w:r w:rsidR="000279D9">
        <w:t xml:space="preserve"> </w:t>
      </w:r>
      <w:r>
        <w:t>or</w:t>
      </w:r>
      <w:r w:rsidR="000279D9">
        <w:t xml:space="preserve"> </w:t>
      </w:r>
      <w:r>
        <w:t>subrecipient</w:t>
      </w:r>
      <w:r w:rsidR="000279D9">
        <w:t xml:space="preserve"> </w:t>
      </w:r>
      <w:r>
        <w:t>may</w:t>
      </w:r>
      <w:r w:rsidR="000279D9">
        <w:t xml:space="preserve"> </w:t>
      </w:r>
      <w:r>
        <w:t>use</w:t>
      </w:r>
      <w:r w:rsidR="000279D9">
        <w:t xml:space="preserve"> </w:t>
      </w:r>
      <w:r>
        <w:t>the</w:t>
      </w:r>
      <w:r w:rsidR="000279D9">
        <w:t xml:space="preserve"> </w:t>
      </w:r>
      <w:r>
        <w:t>value</w:t>
      </w:r>
      <w:r w:rsidR="000279D9">
        <w:t xml:space="preserve"> </w:t>
      </w:r>
      <w:r>
        <w:t>of</w:t>
      </w:r>
      <w:r w:rsidR="000279D9">
        <w:t xml:space="preserve"> </w:t>
      </w:r>
      <w:r>
        <w:t>any</w:t>
      </w:r>
      <w:r w:rsidR="000279D9">
        <w:t xml:space="preserve"> </w:t>
      </w:r>
      <w:r>
        <w:t>real</w:t>
      </w:r>
      <w:r w:rsidR="000279D9">
        <w:t xml:space="preserve"> </w:t>
      </w:r>
      <w:r>
        <w:t>property,</w:t>
      </w:r>
      <w:r w:rsidR="000279D9">
        <w:t xml:space="preserve"> </w:t>
      </w:r>
      <w:r>
        <w:t>equipment,</w:t>
      </w:r>
      <w:r w:rsidR="000279D9">
        <w:t xml:space="preserve"> </w:t>
      </w:r>
      <w:r>
        <w:t>goods,</w:t>
      </w:r>
      <w:r w:rsidR="000279D9">
        <w:t xml:space="preserve"> </w:t>
      </w:r>
      <w:r>
        <w:t>or</w:t>
      </w:r>
      <w:r w:rsidR="000279D9">
        <w:t xml:space="preserve"> </w:t>
      </w:r>
      <w:r>
        <w:t>services</w:t>
      </w:r>
      <w:r w:rsidR="000279D9">
        <w:t xml:space="preserve"> </w:t>
      </w:r>
      <w:r>
        <w:t>contributed</w:t>
      </w:r>
      <w:r w:rsidR="000279D9">
        <w:t xml:space="preserve"> </w:t>
      </w:r>
      <w:r>
        <w:t>to</w:t>
      </w:r>
      <w:r w:rsidR="000279D9">
        <w:t xml:space="preserve"> </w:t>
      </w:r>
      <w:r>
        <w:t>the</w:t>
      </w:r>
      <w:r w:rsidR="000279D9">
        <w:t xml:space="preserve"> </w:t>
      </w:r>
      <w:r>
        <w:t>project</w:t>
      </w:r>
      <w:r w:rsidR="000279D9">
        <w:t xml:space="preserve"> </w:t>
      </w:r>
      <w:r>
        <w:t>as</w:t>
      </w:r>
      <w:r w:rsidR="000279D9">
        <w:t xml:space="preserve"> </w:t>
      </w:r>
      <w:r>
        <w:t>match,</w:t>
      </w:r>
      <w:r w:rsidR="000279D9">
        <w:t xml:space="preserve"> </w:t>
      </w:r>
      <w:r>
        <w:t>provided</w:t>
      </w:r>
      <w:r w:rsidR="000279D9">
        <w:t xml:space="preserve"> </w:t>
      </w:r>
      <w:r>
        <w:t>that,</w:t>
      </w:r>
      <w:r w:rsidR="000279D9">
        <w:t xml:space="preserve"> </w:t>
      </w:r>
      <w:r>
        <w:t>if</w:t>
      </w:r>
      <w:r w:rsidR="000279D9">
        <w:t xml:space="preserve"> </w:t>
      </w:r>
      <w:r>
        <w:t>the</w:t>
      </w:r>
      <w:r w:rsidR="000279D9">
        <w:t xml:space="preserve"> </w:t>
      </w:r>
      <w:r>
        <w:t>recipient</w:t>
      </w:r>
      <w:r w:rsidR="000279D9">
        <w:t xml:space="preserve"> </w:t>
      </w:r>
      <w:r>
        <w:t>or</w:t>
      </w:r>
      <w:r w:rsidR="000279D9">
        <w:t xml:space="preserve"> </w:t>
      </w:r>
      <w:r>
        <w:t>subrecipient</w:t>
      </w:r>
      <w:r w:rsidR="000279D9">
        <w:t xml:space="preserve"> </w:t>
      </w:r>
      <w:r>
        <w:t>had</w:t>
      </w:r>
      <w:r w:rsidR="000279D9">
        <w:t xml:space="preserve"> </w:t>
      </w:r>
      <w:r>
        <w:t>to</w:t>
      </w:r>
      <w:r w:rsidR="000279D9">
        <w:t xml:space="preserve"> </w:t>
      </w:r>
      <w:r>
        <w:t>pay</w:t>
      </w:r>
      <w:r w:rsidR="000279D9">
        <w:t xml:space="preserve"> </w:t>
      </w:r>
      <w:r>
        <w:t>for</w:t>
      </w:r>
      <w:r w:rsidR="000279D9">
        <w:t xml:space="preserve"> </w:t>
      </w:r>
      <w:r>
        <w:t>them</w:t>
      </w:r>
      <w:r w:rsidR="000279D9">
        <w:t xml:space="preserve"> </w:t>
      </w:r>
      <w:r>
        <w:t>with</w:t>
      </w:r>
      <w:r w:rsidR="000279D9">
        <w:t xml:space="preserve"> </w:t>
      </w:r>
      <w:r>
        <w:t>grant</w:t>
      </w:r>
      <w:r w:rsidR="000279D9">
        <w:t xml:space="preserve"> </w:t>
      </w:r>
      <w:r>
        <w:t>funds,</w:t>
      </w:r>
      <w:r w:rsidR="000279D9">
        <w:t xml:space="preserve"> </w:t>
      </w:r>
      <w:r>
        <w:t>the</w:t>
      </w:r>
      <w:r w:rsidR="000279D9">
        <w:t xml:space="preserve"> </w:t>
      </w:r>
      <w:r>
        <w:t>costs</w:t>
      </w:r>
      <w:r w:rsidR="000279D9">
        <w:t xml:space="preserve"> </w:t>
      </w:r>
      <w:r>
        <w:t>would</w:t>
      </w:r>
      <w:r w:rsidR="000279D9">
        <w:t xml:space="preserve"> </w:t>
      </w:r>
      <w:r>
        <w:t>have</w:t>
      </w:r>
      <w:r w:rsidR="000279D9">
        <w:t xml:space="preserve"> </w:t>
      </w:r>
      <w:r>
        <w:t>been</w:t>
      </w:r>
      <w:r w:rsidR="000279D9">
        <w:t xml:space="preserve"> </w:t>
      </w:r>
      <w:r>
        <w:t>eligible.</w:t>
      </w:r>
      <w:r w:rsidR="000279D9">
        <w:t xml:space="preserve"> </w:t>
      </w:r>
    </w:p>
    <w:p w14:paraId="0F57A3A7" w14:textId="77777777" w:rsidR="005F43AC" w:rsidRDefault="005F43AC" w:rsidP="005F43AC">
      <w:pPr>
        <w:tabs>
          <w:tab w:val="left" w:pos="2790"/>
        </w:tabs>
      </w:pPr>
      <w:r>
        <w:t>Before</w:t>
      </w:r>
      <w:r w:rsidR="000279D9">
        <w:t xml:space="preserve"> </w:t>
      </w:r>
      <w:r>
        <w:t>grant</w:t>
      </w:r>
      <w:r w:rsidR="000279D9">
        <w:t xml:space="preserve"> </w:t>
      </w:r>
      <w:r>
        <w:t>execution,</w:t>
      </w:r>
      <w:r w:rsidR="000279D9">
        <w:t xml:space="preserve"> </w:t>
      </w:r>
      <w:r>
        <w:t>services</w:t>
      </w:r>
      <w:r w:rsidR="000279D9">
        <w:t xml:space="preserve"> </w:t>
      </w:r>
      <w:r>
        <w:t>to</w:t>
      </w:r>
      <w:r w:rsidR="000279D9">
        <w:t xml:space="preserve"> </w:t>
      </w:r>
      <w:r>
        <w:t>be</w:t>
      </w:r>
      <w:r w:rsidR="000279D9">
        <w:t xml:space="preserve"> </w:t>
      </w:r>
      <w:r>
        <w:t>provided</w:t>
      </w:r>
      <w:r w:rsidR="000279D9">
        <w:t xml:space="preserve"> </w:t>
      </w:r>
      <w:r>
        <w:t>by</w:t>
      </w:r>
      <w:r w:rsidR="000279D9">
        <w:t xml:space="preserve"> </w:t>
      </w:r>
      <w:r>
        <w:t>a</w:t>
      </w:r>
      <w:r w:rsidR="000279D9">
        <w:t xml:space="preserve"> </w:t>
      </w:r>
      <w:r>
        <w:t>third</w:t>
      </w:r>
      <w:r w:rsidR="000279D9">
        <w:t xml:space="preserve"> </w:t>
      </w:r>
      <w:r>
        <w:t>party</w:t>
      </w:r>
      <w:r w:rsidR="000279D9">
        <w:t xml:space="preserve"> </w:t>
      </w:r>
      <w:r>
        <w:t>must</w:t>
      </w:r>
      <w:r w:rsidR="000279D9">
        <w:t xml:space="preserve"> </w:t>
      </w:r>
      <w:r>
        <w:t>be</w:t>
      </w:r>
      <w:r w:rsidR="000279D9">
        <w:t xml:space="preserve"> </w:t>
      </w:r>
      <w:r>
        <w:t>documented</w:t>
      </w:r>
      <w:r w:rsidR="000279D9">
        <w:t xml:space="preserve"> </w:t>
      </w:r>
      <w:r>
        <w:t>by</w:t>
      </w:r>
      <w:r w:rsidR="000279D9">
        <w:t xml:space="preserve"> </w:t>
      </w:r>
      <w:r>
        <w:t>a</w:t>
      </w:r>
      <w:r w:rsidR="000279D9">
        <w:t xml:space="preserve"> </w:t>
      </w:r>
      <w:r>
        <w:t>memorandum</w:t>
      </w:r>
      <w:r w:rsidR="000279D9">
        <w:t xml:space="preserve"> </w:t>
      </w:r>
      <w:r>
        <w:t>of</w:t>
      </w:r>
      <w:r w:rsidR="000279D9">
        <w:t xml:space="preserve"> </w:t>
      </w:r>
      <w:r>
        <w:t>understanding</w:t>
      </w:r>
      <w:r w:rsidR="000279D9">
        <w:t xml:space="preserve"> </w:t>
      </w:r>
      <w:r>
        <w:t>(MOU)</w:t>
      </w:r>
      <w:r w:rsidR="000279D9">
        <w:t xml:space="preserve"> </w:t>
      </w:r>
      <w:r>
        <w:t>between</w:t>
      </w:r>
      <w:r w:rsidR="000279D9">
        <w:t xml:space="preserve"> </w:t>
      </w:r>
      <w:r>
        <w:t>the</w:t>
      </w:r>
      <w:r w:rsidR="000279D9">
        <w:t xml:space="preserve"> </w:t>
      </w:r>
      <w:r>
        <w:t>recipient</w:t>
      </w:r>
      <w:r w:rsidR="000279D9">
        <w:t xml:space="preserve"> </w:t>
      </w:r>
      <w:r>
        <w:t>or</w:t>
      </w:r>
      <w:r w:rsidR="000279D9">
        <w:t xml:space="preserve"> </w:t>
      </w:r>
      <w:r>
        <w:t>subrecipient</w:t>
      </w:r>
      <w:r w:rsidR="000279D9">
        <w:t xml:space="preserve"> </w:t>
      </w:r>
      <w:r>
        <w:t>and</w:t>
      </w:r>
      <w:r w:rsidR="000279D9">
        <w:t xml:space="preserve"> </w:t>
      </w:r>
      <w:r>
        <w:t>the</w:t>
      </w:r>
      <w:r w:rsidR="000279D9">
        <w:t xml:space="preserve"> </w:t>
      </w:r>
      <w:r>
        <w:t>third</w:t>
      </w:r>
      <w:r w:rsidR="000279D9">
        <w:t xml:space="preserve"> </w:t>
      </w:r>
      <w:r>
        <w:t>party</w:t>
      </w:r>
      <w:r w:rsidR="000279D9">
        <w:t xml:space="preserve"> </w:t>
      </w:r>
      <w:r>
        <w:t>that</w:t>
      </w:r>
      <w:r w:rsidR="000279D9">
        <w:t xml:space="preserve"> </w:t>
      </w:r>
      <w:r>
        <w:t>will</w:t>
      </w:r>
      <w:r w:rsidR="000279D9">
        <w:t xml:space="preserve"> </w:t>
      </w:r>
      <w:r>
        <w:t>provide</w:t>
      </w:r>
      <w:r w:rsidR="000279D9">
        <w:t xml:space="preserve"> </w:t>
      </w:r>
      <w:r>
        <w:t>the</w:t>
      </w:r>
      <w:r w:rsidR="000279D9">
        <w:t xml:space="preserve"> </w:t>
      </w:r>
      <w:r>
        <w:t>services.</w:t>
      </w:r>
      <w:r w:rsidR="000279D9">
        <w:t xml:space="preserve"> </w:t>
      </w:r>
      <w:r>
        <w:t xml:space="preserve"> Services</w:t>
      </w:r>
      <w:r w:rsidR="000279D9">
        <w:t xml:space="preserve"> </w:t>
      </w:r>
      <w:r>
        <w:t>provided</w:t>
      </w:r>
      <w:r w:rsidR="000279D9">
        <w:t xml:space="preserve"> </w:t>
      </w:r>
      <w:r>
        <w:t>by</w:t>
      </w:r>
      <w:r w:rsidR="000279D9">
        <w:t xml:space="preserve"> </w:t>
      </w:r>
      <w:r>
        <w:t>individuals</w:t>
      </w:r>
      <w:r w:rsidR="000279D9">
        <w:t xml:space="preserve"> </w:t>
      </w:r>
      <w:r>
        <w:t>must</w:t>
      </w:r>
      <w:r w:rsidR="000279D9">
        <w:t xml:space="preserve"> </w:t>
      </w:r>
      <w:r>
        <w:t>be</w:t>
      </w:r>
      <w:r w:rsidR="000279D9">
        <w:t xml:space="preserve"> </w:t>
      </w:r>
      <w:r>
        <w:t>valued</w:t>
      </w:r>
      <w:r w:rsidR="000279D9">
        <w:t xml:space="preserve"> </w:t>
      </w:r>
      <w:r>
        <w:t>at</w:t>
      </w:r>
      <w:r w:rsidR="000279D9">
        <w:t xml:space="preserve"> </w:t>
      </w:r>
      <w:r>
        <w:t>rates</w:t>
      </w:r>
      <w:r w:rsidR="000279D9">
        <w:t xml:space="preserve"> </w:t>
      </w:r>
      <w:r>
        <w:t>consistent</w:t>
      </w:r>
      <w:r w:rsidR="000279D9">
        <w:t xml:space="preserve"> </w:t>
      </w:r>
      <w:r>
        <w:t>with</w:t>
      </w:r>
      <w:r w:rsidR="000279D9">
        <w:t xml:space="preserve"> </w:t>
      </w:r>
      <w:r>
        <w:t>those</w:t>
      </w:r>
      <w:r w:rsidR="000279D9">
        <w:t xml:space="preserve"> </w:t>
      </w:r>
      <w:r>
        <w:t>ordinarily</w:t>
      </w:r>
      <w:r w:rsidR="000279D9">
        <w:t xml:space="preserve"> </w:t>
      </w:r>
      <w:r>
        <w:t>paid</w:t>
      </w:r>
      <w:r w:rsidR="000279D9">
        <w:t xml:space="preserve"> </w:t>
      </w:r>
      <w:r>
        <w:t>for</w:t>
      </w:r>
      <w:r w:rsidR="000279D9">
        <w:t xml:space="preserve"> </w:t>
      </w:r>
      <w:r>
        <w:t>similar</w:t>
      </w:r>
      <w:r w:rsidR="000279D9">
        <w:t xml:space="preserve"> </w:t>
      </w:r>
      <w:r>
        <w:t>work</w:t>
      </w:r>
      <w:r w:rsidR="000279D9">
        <w:t xml:space="preserve"> </w:t>
      </w:r>
      <w:r>
        <w:t>in</w:t>
      </w:r>
      <w:r w:rsidR="000279D9">
        <w:t xml:space="preserve"> </w:t>
      </w:r>
      <w:r>
        <w:t>the</w:t>
      </w:r>
      <w:r w:rsidR="000279D9">
        <w:t xml:space="preserve"> </w:t>
      </w:r>
      <w:r>
        <w:t>recipient’s</w:t>
      </w:r>
      <w:r w:rsidR="000279D9">
        <w:t xml:space="preserve"> </w:t>
      </w:r>
      <w:r>
        <w:t>or</w:t>
      </w:r>
      <w:r w:rsidR="000279D9">
        <w:t xml:space="preserve"> </w:t>
      </w:r>
      <w:r>
        <w:t>subrecipient’s</w:t>
      </w:r>
      <w:r w:rsidR="000279D9">
        <w:t xml:space="preserve"> </w:t>
      </w:r>
      <w:r>
        <w:t>organization. The</w:t>
      </w:r>
      <w:r w:rsidR="000279D9">
        <w:t xml:space="preserve"> </w:t>
      </w:r>
      <w:r>
        <w:t>MOU</w:t>
      </w:r>
      <w:r w:rsidR="000279D9">
        <w:t xml:space="preserve"> </w:t>
      </w:r>
      <w:r>
        <w:t>must</w:t>
      </w:r>
      <w:r w:rsidR="000279D9">
        <w:t xml:space="preserve"> </w:t>
      </w:r>
      <w:r>
        <w:t>establish</w:t>
      </w:r>
      <w:r w:rsidR="000279D9">
        <w:t xml:space="preserve"> </w:t>
      </w:r>
      <w:r>
        <w:t>the</w:t>
      </w:r>
      <w:r w:rsidR="000279D9">
        <w:t xml:space="preserve"> </w:t>
      </w:r>
      <w:r>
        <w:t>unconditional</w:t>
      </w:r>
      <w:r w:rsidR="000279D9">
        <w:t xml:space="preserve"> </w:t>
      </w:r>
      <w:r>
        <w:t>commitment,</w:t>
      </w:r>
      <w:r w:rsidR="000279D9">
        <w:t xml:space="preserve"> </w:t>
      </w:r>
      <w:r>
        <w:t>except</w:t>
      </w:r>
      <w:r w:rsidR="000279D9">
        <w:t xml:space="preserve"> </w:t>
      </w:r>
      <w:r>
        <w:t>for</w:t>
      </w:r>
      <w:r w:rsidR="000279D9">
        <w:t xml:space="preserve"> </w:t>
      </w:r>
      <w:r>
        <w:t>selection</w:t>
      </w:r>
      <w:r w:rsidR="000279D9">
        <w:t xml:space="preserve"> </w:t>
      </w:r>
      <w:r>
        <w:t>to</w:t>
      </w:r>
      <w:r w:rsidR="000279D9">
        <w:t xml:space="preserve"> </w:t>
      </w:r>
      <w:r>
        <w:t>receive</w:t>
      </w:r>
      <w:r w:rsidR="000279D9">
        <w:t xml:space="preserve"> </w:t>
      </w:r>
      <w:r>
        <w:t>a</w:t>
      </w:r>
      <w:r w:rsidR="000279D9">
        <w:t xml:space="preserve"> </w:t>
      </w:r>
      <w:r>
        <w:t>grant,</w:t>
      </w:r>
      <w:r w:rsidR="000279D9">
        <w:t xml:space="preserve"> </w:t>
      </w:r>
      <w:r>
        <w:t>by</w:t>
      </w:r>
      <w:r w:rsidR="000279D9">
        <w:t xml:space="preserve"> </w:t>
      </w:r>
      <w:r>
        <w:t>the</w:t>
      </w:r>
      <w:r w:rsidR="000279D9">
        <w:t xml:space="preserve"> </w:t>
      </w:r>
      <w:r>
        <w:t>third</w:t>
      </w:r>
      <w:r w:rsidR="000279D9">
        <w:t xml:space="preserve"> </w:t>
      </w:r>
      <w:r>
        <w:t>party</w:t>
      </w:r>
      <w:r w:rsidR="000279D9">
        <w:t xml:space="preserve"> </w:t>
      </w:r>
      <w:r>
        <w:t>to</w:t>
      </w:r>
      <w:r w:rsidR="000279D9">
        <w:t xml:space="preserve"> </w:t>
      </w:r>
      <w:r>
        <w:t>provide</w:t>
      </w:r>
      <w:r w:rsidR="000279D9">
        <w:t xml:space="preserve"> </w:t>
      </w:r>
      <w:r>
        <w:t>services,</w:t>
      </w:r>
      <w:r w:rsidR="000279D9">
        <w:t xml:space="preserve"> </w:t>
      </w:r>
      <w:r>
        <w:t>the</w:t>
      </w:r>
      <w:r w:rsidR="000279D9">
        <w:t xml:space="preserve"> </w:t>
      </w:r>
      <w:r>
        <w:t>specific</w:t>
      </w:r>
      <w:r w:rsidR="000279D9">
        <w:t xml:space="preserve"> </w:t>
      </w:r>
      <w:r>
        <w:t>service</w:t>
      </w:r>
      <w:r w:rsidR="000279D9">
        <w:t xml:space="preserve"> </w:t>
      </w:r>
      <w:r>
        <w:t>to</w:t>
      </w:r>
      <w:r w:rsidR="000279D9">
        <w:t xml:space="preserve"> </w:t>
      </w:r>
      <w:r>
        <w:t>be</w:t>
      </w:r>
      <w:r w:rsidR="000279D9">
        <w:t xml:space="preserve"> </w:t>
      </w:r>
      <w:r>
        <w:t>provided,</w:t>
      </w:r>
      <w:r w:rsidR="000279D9">
        <w:t xml:space="preserve"> </w:t>
      </w:r>
      <w:r>
        <w:t>the</w:t>
      </w:r>
      <w:r w:rsidR="000279D9">
        <w:t xml:space="preserve"> </w:t>
      </w:r>
      <w:r>
        <w:t>profession</w:t>
      </w:r>
      <w:r w:rsidR="000279D9">
        <w:t xml:space="preserve"> </w:t>
      </w:r>
      <w:r>
        <w:t>of</w:t>
      </w:r>
      <w:r w:rsidR="000279D9">
        <w:t xml:space="preserve"> </w:t>
      </w:r>
      <w:r>
        <w:t>the</w:t>
      </w:r>
      <w:r w:rsidR="000279D9">
        <w:t xml:space="preserve"> </w:t>
      </w:r>
      <w:r>
        <w:t>persons</w:t>
      </w:r>
      <w:r w:rsidR="000279D9">
        <w:t xml:space="preserve"> </w:t>
      </w:r>
      <w:r>
        <w:t>providing</w:t>
      </w:r>
      <w:r w:rsidR="000279D9">
        <w:t xml:space="preserve"> </w:t>
      </w:r>
      <w:r>
        <w:t>the</w:t>
      </w:r>
      <w:r w:rsidR="000279D9">
        <w:t xml:space="preserve"> </w:t>
      </w:r>
      <w:r>
        <w:t>service,</w:t>
      </w:r>
      <w:r w:rsidR="000279D9">
        <w:t xml:space="preserve"> </w:t>
      </w:r>
      <w:r>
        <w:t>and</w:t>
      </w:r>
      <w:r w:rsidR="000279D9">
        <w:t xml:space="preserve"> </w:t>
      </w:r>
      <w:r>
        <w:t>the</w:t>
      </w:r>
      <w:r w:rsidR="000279D9">
        <w:t xml:space="preserve"> </w:t>
      </w:r>
      <w:r>
        <w:t>hourly</w:t>
      </w:r>
      <w:r w:rsidR="000279D9">
        <w:t xml:space="preserve"> </w:t>
      </w:r>
      <w:r>
        <w:t>cost</w:t>
      </w:r>
      <w:r w:rsidR="000279D9">
        <w:t xml:space="preserve"> </w:t>
      </w:r>
      <w:r>
        <w:t>of</w:t>
      </w:r>
      <w:r w:rsidR="000279D9">
        <w:t xml:space="preserve"> </w:t>
      </w:r>
      <w:r>
        <w:t>the</w:t>
      </w:r>
      <w:r w:rsidR="000279D9">
        <w:t xml:space="preserve"> </w:t>
      </w:r>
      <w:r>
        <w:t>service</w:t>
      </w:r>
      <w:r w:rsidR="000279D9">
        <w:t xml:space="preserve"> </w:t>
      </w:r>
      <w:r>
        <w:t>to</w:t>
      </w:r>
      <w:r w:rsidR="000279D9">
        <w:t xml:space="preserve"> </w:t>
      </w:r>
      <w:r>
        <w:t>be</w:t>
      </w:r>
      <w:r w:rsidR="000279D9">
        <w:t xml:space="preserve"> </w:t>
      </w:r>
      <w:r>
        <w:t>provided.</w:t>
      </w:r>
      <w:r>
        <w:tab/>
      </w:r>
      <w:r>
        <w:tab/>
      </w:r>
    </w:p>
    <w:p w14:paraId="302DEDFF" w14:textId="77777777" w:rsidR="00463B5B" w:rsidRDefault="00463B5B" w:rsidP="00463B5B">
      <w:pPr>
        <w:tabs>
          <w:tab w:val="left" w:pos="2790"/>
        </w:tabs>
      </w:pPr>
      <w:r>
        <w:t>Indirect</w:t>
      </w:r>
      <w:r w:rsidR="00D62A55">
        <w:t xml:space="preserve"> </w:t>
      </w:r>
      <w:r>
        <w:t>costs</w:t>
      </w:r>
      <w:r w:rsidR="00D62A55">
        <w:t xml:space="preserve"> </w:t>
      </w:r>
      <w:r>
        <w:t>(also</w:t>
      </w:r>
      <w:r w:rsidR="00D62A55">
        <w:t xml:space="preserve"> </w:t>
      </w:r>
      <w:r>
        <w:t>known</w:t>
      </w:r>
      <w:r w:rsidR="00D62A55">
        <w:t xml:space="preserve"> </w:t>
      </w:r>
      <w:r>
        <w:t>as</w:t>
      </w:r>
      <w:r w:rsidR="00D62A55">
        <w:t xml:space="preserve"> </w:t>
      </w:r>
      <w:r>
        <w:t>“facilities</w:t>
      </w:r>
      <w:r w:rsidR="00D62A55">
        <w:t xml:space="preserve"> </w:t>
      </w:r>
      <w:r>
        <w:t>and</w:t>
      </w:r>
      <w:r w:rsidR="00D62A55">
        <w:t xml:space="preserve"> </w:t>
      </w:r>
      <w:r>
        <w:t>administrative</w:t>
      </w:r>
      <w:r w:rsidR="00D62A55">
        <w:t xml:space="preserve"> </w:t>
      </w:r>
      <w:r>
        <w:t>costs”</w:t>
      </w:r>
      <w:r w:rsidR="00D62A55">
        <w:t xml:space="preserve"> </w:t>
      </w:r>
      <w:r>
        <w:t>defined</w:t>
      </w:r>
      <w:r w:rsidR="00D62A55">
        <w:t xml:space="preserve"> </w:t>
      </w:r>
      <w:r>
        <w:t>at</w:t>
      </w:r>
      <w:r w:rsidR="00D62A55">
        <w:t xml:space="preserve"> </w:t>
      </w:r>
      <w:r>
        <w:t>2</w:t>
      </w:r>
      <w:r w:rsidR="00D62A55">
        <w:t xml:space="preserve"> </w:t>
      </w:r>
      <w:r>
        <w:t>CFR</w:t>
      </w:r>
      <w:r w:rsidR="00D62A55">
        <w:t xml:space="preserve"> </w:t>
      </w:r>
      <w:r>
        <w:t>200.56)</w:t>
      </w:r>
      <w:r w:rsidR="00D62A55">
        <w:t xml:space="preserve"> </w:t>
      </w:r>
      <w:r>
        <w:t>are</w:t>
      </w:r>
      <w:r w:rsidR="00D62A55">
        <w:t xml:space="preserve"> </w:t>
      </w:r>
      <w:r>
        <w:t>eligible</w:t>
      </w:r>
      <w:r w:rsidR="00D62A55">
        <w:t xml:space="preserve"> </w:t>
      </w:r>
      <w:r>
        <w:t>under</w:t>
      </w:r>
      <w:r w:rsidR="00D62A55">
        <w:t xml:space="preserve"> </w:t>
      </w:r>
      <w:r>
        <w:t>the</w:t>
      </w:r>
      <w:r w:rsidR="00D62A55">
        <w:t xml:space="preserve"> </w:t>
      </w:r>
      <w:r>
        <w:t>CoC</w:t>
      </w:r>
      <w:r w:rsidR="00D62A55">
        <w:t xml:space="preserve"> </w:t>
      </w:r>
      <w:r>
        <w:t>Program,</w:t>
      </w:r>
      <w:r w:rsidR="00D62A55">
        <w:t xml:space="preserve"> </w:t>
      </w:r>
      <w:r>
        <w:t>and</w:t>
      </w:r>
      <w:r w:rsidR="00D62A55">
        <w:t xml:space="preserve"> </w:t>
      </w:r>
      <w:r>
        <w:t>if</w:t>
      </w:r>
      <w:r w:rsidR="00D62A55">
        <w:t xml:space="preserve"> </w:t>
      </w:r>
      <w:r>
        <w:t>the</w:t>
      </w:r>
      <w:r w:rsidR="00D62A55">
        <w:t xml:space="preserve"> </w:t>
      </w:r>
      <w:r>
        <w:t>applicant</w:t>
      </w:r>
      <w:r w:rsidR="00D62A55">
        <w:t xml:space="preserve"> </w:t>
      </w:r>
      <w:r>
        <w:t>does</w:t>
      </w:r>
      <w:r w:rsidR="00D62A55">
        <w:t xml:space="preserve"> </w:t>
      </w:r>
      <w:r>
        <w:t>not</w:t>
      </w:r>
      <w:r w:rsidR="00D62A55">
        <w:t xml:space="preserve"> </w:t>
      </w:r>
      <w:r>
        <w:t>have</w:t>
      </w:r>
      <w:r w:rsidR="00D62A55">
        <w:t xml:space="preserve"> </w:t>
      </w:r>
      <w:r>
        <w:t>an</w:t>
      </w:r>
      <w:r w:rsidR="00D62A55">
        <w:t xml:space="preserve"> </w:t>
      </w:r>
      <w:r>
        <w:t>approved</w:t>
      </w:r>
      <w:r w:rsidR="00D62A55">
        <w:t xml:space="preserve"> </w:t>
      </w:r>
      <w:r>
        <w:t>federally</w:t>
      </w:r>
      <w:r w:rsidR="00D62A55">
        <w:t xml:space="preserve"> </w:t>
      </w:r>
      <w:r>
        <w:t>negotiated</w:t>
      </w:r>
      <w:r w:rsidR="00D62A55">
        <w:t xml:space="preserve"> </w:t>
      </w:r>
      <w:r>
        <w:t>indirect</w:t>
      </w:r>
      <w:r w:rsidR="00D62A55">
        <w:t xml:space="preserve"> </w:t>
      </w:r>
      <w:r>
        <w:t>cost</w:t>
      </w:r>
      <w:r w:rsidR="00D62A55">
        <w:t xml:space="preserve"> </w:t>
      </w:r>
      <w:r>
        <w:t>rate,</w:t>
      </w:r>
      <w:r w:rsidR="00D62A55">
        <w:t xml:space="preserve"> </w:t>
      </w:r>
      <w:r>
        <w:t>the</w:t>
      </w:r>
      <w:r w:rsidR="00D62A55">
        <w:t xml:space="preserve"> </w:t>
      </w:r>
      <w:r>
        <w:t>applicant</w:t>
      </w:r>
      <w:r w:rsidR="00D62A55">
        <w:t xml:space="preserve"> </w:t>
      </w:r>
      <w:r>
        <w:t>may</w:t>
      </w:r>
      <w:r w:rsidR="00D62A55">
        <w:t xml:space="preserve"> </w:t>
      </w:r>
      <w:r>
        <w:t>use</w:t>
      </w:r>
      <w:r w:rsidR="00D62A55">
        <w:t xml:space="preserve"> </w:t>
      </w:r>
      <w:r>
        <w:t>a</w:t>
      </w:r>
      <w:r w:rsidR="00D62A55">
        <w:t xml:space="preserve"> </w:t>
      </w:r>
      <w:r>
        <w:t>de</w:t>
      </w:r>
      <w:r w:rsidR="00D62A55">
        <w:t xml:space="preserve"> </w:t>
      </w:r>
      <w:r>
        <w:t>minimis</w:t>
      </w:r>
      <w:r w:rsidR="00D62A55">
        <w:t xml:space="preserve"> </w:t>
      </w:r>
      <w:r>
        <w:t>rat</w:t>
      </w:r>
      <w:r w:rsidR="00D62A55">
        <w:t xml:space="preserve">e </w:t>
      </w:r>
      <w:r>
        <w:t>of</w:t>
      </w:r>
      <w:r w:rsidR="00D62A55">
        <w:t xml:space="preserve"> </w:t>
      </w:r>
      <w:r>
        <w:t>10</w:t>
      </w:r>
      <w:r w:rsidR="00D62A55">
        <w:t xml:space="preserve"> </w:t>
      </w:r>
      <w:r>
        <w:t>percent</w:t>
      </w:r>
      <w:r w:rsidR="00D62A55">
        <w:t xml:space="preserve"> </w:t>
      </w:r>
      <w:r>
        <w:t>of</w:t>
      </w:r>
      <w:r w:rsidR="00D62A55">
        <w:t xml:space="preserve"> </w:t>
      </w:r>
      <w:r>
        <w:t>Modified</w:t>
      </w:r>
      <w:r w:rsidR="00D62A55">
        <w:t xml:space="preserve"> </w:t>
      </w:r>
      <w:r>
        <w:t>Total</w:t>
      </w:r>
      <w:r w:rsidR="00D62A55">
        <w:t xml:space="preserve"> </w:t>
      </w:r>
      <w:r>
        <w:t>Direct</w:t>
      </w:r>
      <w:r w:rsidR="00D62A55">
        <w:t xml:space="preserve"> </w:t>
      </w:r>
      <w:r>
        <w:t>Costs.</w:t>
      </w:r>
      <w:r w:rsidR="00D62A55">
        <w:t xml:space="preserve"> </w:t>
      </w:r>
      <w:r>
        <w:t>(See</w:t>
      </w:r>
      <w:r w:rsidR="00D62A55">
        <w:t xml:space="preserve"> </w:t>
      </w:r>
      <w:r>
        <w:t>call</w:t>
      </w:r>
      <w:r w:rsidR="00D62A55">
        <w:t xml:space="preserve"> </w:t>
      </w:r>
      <w:r>
        <w:t>out</w:t>
      </w:r>
      <w:r w:rsidR="00D62A55">
        <w:t xml:space="preserve"> </w:t>
      </w:r>
      <w:r>
        <w:t>box</w:t>
      </w:r>
      <w:r w:rsidR="00D62A55">
        <w:t xml:space="preserve"> </w:t>
      </w:r>
      <w:r>
        <w:t>on</w:t>
      </w:r>
      <w:r w:rsidR="00D62A55">
        <w:t xml:space="preserve"> </w:t>
      </w:r>
      <w:r>
        <w:t>next</w:t>
      </w:r>
      <w:r w:rsidR="00D62A55">
        <w:t xml:space="preserve"> </w:t>
      </w:r>
      <w:r>
        <w:t>page</w:t>
      </w:r>
      <w:r w:rsidR="00D62A55">
        <w:t xml:space="preserve"> </w:t>
      </w:r>
      <w:r>
        <w:t>for</w:t>
      </w:r>
      <w:r w:rsidR="00D62A55">
        <w:t xml:space="preserve"> </w:t>
      </w:r>
      <w:r>
        <w:t>more</w:t>
      </w:r>
      <w:r w:rsidR="00D62A55">
        <w:t xml:space="preserve"> </w:t>
      </w:r>
      <w:r>
        <w:t>detail.)</w:t>
      </w:r>
      <w:r>
        <w:tab/>
      </w:r>
      <w:r>
        <w:tab/>
      </w:r>
    </w:p>
    <w:p w14:paraId="6D102F8B" w14:textId="77777777" w:rsidR="002F1B01" w:rsidRDefault="00463B5B" w:rsidP="00463B5B">
      <w:pPr>
        <w:tabs>
          <w:tab w:val="left" w:pos="2790"/>
        </w:tabs>
      </w:pPr>
      <w:r>
        <w:t>Also</w:t>
      </w:r>
      <w:r w:rsidR="002F1B01">
        <w:t xml:space="preserve"> </w:t>
      </w:r>
      <w:r>
        <w:t>remember:</w:t>
      </w:r>
      <w:r w:rsidR="002F1B01">
        <w:t xml:space="preserve"> </w:t>
      </w:r>
      <w:r>
        <w:t xml:space="preserve"> </w:t>
      </w:r>
    </w:p>
    <w:p w14:paraId="20FCD485" w14:textId="77777777" w:rsidR="002F1B01" w:rsidRDefault="00463B5B" w:rsidP="002F1B01">
      <w:pPr>
        <w:pStyle w:val="ListParagraph"/>
        <w:numPr>
          <w:ilvl w:val="0"/>
          <w:numId w:val="34"/>
        </w:numPr>
        <w:tabs>
          <w:tab w:val="left" w:pos="2790"/>
        </w:tabs>
      </w:pPr>
      <w:r>
        <w:t>Staff</w:t>
      </w:r>
      <w:r w:rsidR="002F1B01">
        <w:t xml:space="preserve"> </w:t>
      </w:r>
      <w:r>
        <w:t>training</w:t>
      </w:r>
      <w:r w:rsidR="002F1B01">
        <w:t xml:space="preserve"> </w:t>
      </w:r>
      <w:r>
        <w:t>and</w:t>
      </w:r>
      <w:r w:rsidR="002F1B01">
        <w:t xml:space="preserve"> </w:t>
      </w:r>
      <w:r>
        <w:t>the</w:t>
      </w:r>
      <w:r w:rsidR="002F1B01">
        <w:t xml:space="preserve"> </w:t>
      </w:r>
      <w:r>
        <w:t>costs</w:t>
      </w:r>
      <w:r w:rsidR="002F1B01">
        <w:t xml:space="preserve"> </w:t>
      </w:r>
      <w:r>
        <w:t>of</w:t>
      </w:r>
      <w:r w:rsidR="002F1B01">
        <w:t xml:space="preserve"> </w:t>
      </w:r>
      <w:r>
        <w:t>obtaining</w:t>
      </w:r>
      <w:r w:rsidR="002F1B01">
        <w:t xml:space="preserve"> </w:t>
      </w:r>
      <w:r>
        <w:t>professional</w:t>
      </w:r>
      <w:r w:rsidR="002F1B01">
        <w:t xml:space="preserve"> </w:t>
      </w:r>
      <w:r>
        <w:t>licenses</w:t>
      </w:r>
      <w:r w:rsidR="002F1B01">
        <w:t xml:space="preserve"> </w:t>
      </w:r>
      <w:r>
        <w:t>or</w:t>
      </w:r>
      <w:r w:rsidR="002F1B01">
        <w:t xml:space="preserve"> </w:t>
      </w:r>
      <w:r>
        <w:t>certifications</w:t>
      </w:r>
      <w:r w:rsidR="002F1B01">
        <w:t xml:space="preserve"> </w:t>
      </w:r>
      <w:r>
        <w:t>needed</w:t>
      </w:r>
      <w:r w:rsidR="002F1B01">
        <w:t xml:space="preserve"> </w:t>
      </w:r>
      <w:r>
        <w:t>to</w:t>
      </w:r>
      <w:r w:rsidR="002F1B01">
        <w:t xml:space="preserve"> </w:t>
      </w:r>
      <w:r>
        <w:t>provide</w:t>
      </w:r>
      <w:r w:rsidR="002F1B01">
        <w:t xml:space="preserve"> </w:t>
      </w:r>
      <w:r>
        <w:t>supportive</w:t>
      </w:r>
      <w:r w:rsidR="002F1B01">
        <w:t xml:space="preserve"> </w:t>
      </w:r>
      <w:r>
        <w:t>services</w:t>
      </w:r>
      <w:r w:rsidR="002F1B01">
        <w:t xml:space="preserve"> </w:t>
      </w:r>
      <w:r>
        <w:t>are</w:t>
      </w:r>
      <w:r w:rsidR="002F1B01">
        <w:t xml:space="preserve"> </w:t>
      </w:r>
      <w:r>
        <w:t>not</w:t>
      </w:r>
      <w:r w:rsidR="002F1B01">
        <w:t xml:space="preserve"> </w:t>
      </w:r>
      <w:r>
        <w:t>eligible</w:t>
      </w:r>
      <w:r w:rsidR="002F1B01">
        <w:t xml:space="preserve"> </w:t>
      </w:r>
      <w:r>
        <w:t>supportive</w:t>
      </w:r>
      <w:r w:rsidR="002F1B01">
        <w:t xml:space="preserve"> </w:t>
      </w:r>
      <w:r>
        <w:t>services</w:t>
      </w:r>
      <w:r w:rsidR="002F1B01">
        <w:t xml:space="preserve"> </w:t>
      </w:r>
      <w:r>
        <w:t>costs.</w:t>
      </w:r>
      <w:r w:rsidR="002F1B01">
        <w:t xml:space="preserve"> </w:t>
      </w:r>
      <w:r>
        <w:t>Some</w:t>
      </w:r>
      <w:r w:rsidR="002F1B01">
        <w:t xml:space="preserve"> </w:t>
      </w:r>
      <w:r>
        <w:t>limited</w:t>
      </w:r>
      <w:r w:rsidR="002F1B01">
        <w:t xml:space="preserve"> </w:t>
      </w:r>
      <w:r>
        <w:t>training</w:t>
      </w:r>
      <w:r w:rsidR="002F1B01">
        <w:t xml:space="preserve"> </w:t>
      </w:r>
      <w:r>
        <w:t>is</w:t>
      </w:r>
      <w:r w:rsidR="002F1B01">
        <w:t xml:space="preserve"> </w:t>
      </w:r>
      <w:r>
        <w:t>eligible</w:t>
      </w:r>
      <w:r w:rsidR="002F1B01">
        <w:t xml:space="preserve"> </w:t>
      </w:r>
      <w:r>
        <w:t>under</w:t>
      </w:r>
      <w:r w:rsidR="002F1B01">
        <w:t xml:space="preserve"> </w:t>
      </w:r>
      <w:r>
        <w:t>administrative</w:t>
      </w:r>
      <w:r w:rsidR="002F1B01">
        <w:t xml:space="preserve"> </w:t>
      </w:r>
      <w:r>
        <w:t>costs,</w:t>
      </w:r>
      <w:r w:rsidR="002F1B01">
        <w:t xml:space="preserve"> </w:t>
      </w:r>
      <w:r>
        <w:t>however.</w:t>
      </w:r>
    </w:p>
    <w:p w14:paraId="1E71B0E2" w14:textId="77777777" w:rsidR="002F1B01" w:rsidRDefault="00463B5B" w:rsidP="002F1B01">
      <w:pPr>
        <w:pStyle w:val="ListParagraph"/>
        <w:numPr>
          <w:ilvl w:val="0"/>
          <w:numId w:val="34"/>
        </w:numPr>
        <w:tabs>
          <w:tab w:val="left" w:pos="2790"/>
        </w:tabs>
      </w:pPr>
      <w:r>
        <w:t>Administrative</w:t>
      </w:r>
      <w:r w:rsidR="002F1B01">
        <w:t xml:space="preserve"> </w:t>
      </w:r>
      <w:r>
        <w:t>costs</w:t>
      </w:r>
      <w:r w:rsidR="002F1B01">
        <w:t xml:space="preserve"> </w:t>
      </w:r>
      <w:r>
        <w:t>do</w:t>
      </w:r>
      <w:r w:rsidR="002F1B01">
        <w:t xml:space="preserve"> </w:t>
      </w:r>
      <w:r>
        <w:t>not</w:t>
      </w:r>
      <w:r w:rsidR="002F1B01">
        <w:t xml:space="preserve"> </w:t>
      </w:r>
      <w:r>
        <w:t>include</w:t>
      </w:r>
      <w:r w:rsidR="002F1B01">
        <w:t xml:space="preserve"> </w:t>
      </w:r>
      <w:r>
        <w:t>staff</w:t>
      </w:r>
      <w:r w:rsidR="002F1B01">
        <w:t xml:space="preserve"> </w:t>
      </w:r>
      <w:r>
        <w:t>and</w:t>
      </w:r>
      <w:r w:rsidR="002F1B01">
        <w:t xml:space="preserve"> </w:t>
      </w:r>
      <w:r>
        <w:t>overhead</w:t>
      </w:r>
      <w:r w:rsidR="002F1B01">
        <w:t xml:space="preserve"> </w:t>
      </w:r>
      <w:r>
        <w:t>costs</w:t>
      </w:r>
      <w:r w:rsidR="002F1B01">
        <w:t xml:space="preserve"> </w:t>
      </w:r>
      <w:r>
        <w:t>directly</w:t>
      </w:r>
      <w:r w:rsidR="002F1B01">
        <w:t xml:space="preserve"> </w:t>
      </w:r>
      <w:r>
        <w:t>related</w:t>
      </w:r>
      <w:r w:rsidR="002F1B01">
        <w:t xml:space="preserve"> </w:t>
      </w:r>
      <w:r>
        <w:t>to</w:t>
      </w:r>
      <w:r w:rsidR="002F1B01">
        <w:t xml:space="preserve"> </w:t>
      </w:r>
      <w:r>
        <w:t>carrying</w:t>
      </w:r>
      <w:r w:rsidR="002F1B01">
        <w:t xml:space="preserve"> </w:t>
      </w:r>
      <w:r>
        <w:t>out</w:t>
      </w:r>
      <w:r w:rsidR="002F1B01">
        <w:t xml:space="preserve"> </w:t>
      </w:r>
      <w:r>
        <w:t>other</w:t>
      </w:r>
      <w:r w:rsidR="002F1B01">
        <w:t xml:space="preserve"> </w:t>
      </w:r>
      <w:r>
        <w:t>eligible</w:t>
      </w:r>
      <w:r w:rsidR="002F1B01">
        <w:t xml:space="preserve"> </w:t>
      </w:r>
      <w:r>
        <w:t>activities</w:t>
      </w:r>
      <w:r w:rsidR="002F1B01">
        <w:t xml:space="preserve"> </w:t>
      </w:r>
      <w:r>
        <w:t>(e.g.,</w:t>
      </w:r>
      <w:r w:rsidR="002F1B01">
        <w:t xml:space="preserve"> </w:t>
      </w:r>
      <w:r>
        <w:t>rental</w:t>
      </w:r>
      <w:r w:rsidR="002F1B01">
        <w:t xml:space="preserve"> </w:t>
      </w:r>
      <w:r>
        <w:t>assistance),</w:t>
      </w:r>
      <w:r w:rsidR="002F1B01">
        <w:t xml:space="preserve"> </w:t>
      </w:r>
      <w:r>
        <w:t>because</w:t>
      </w:r>
      <w:r w:rsidR="002F1B01">
        <w:t xml:space="preserve"> </w:t>
      </w:r>
      <w:r>
        <w:t>those</w:t>
      </w:r>
      <w:r w:rsidR="002F1B01">
        <w:t xml:space="preserve"> </w:t>
      </w:r>
      <w:r>
        <w:t>costs</w:t>
      </w:r>
      <w:r w:rsidR="002F1B01">
        <w:t xml:space="preserve"> </w:t>
      </w:r>
      <w:r>
        <w:t>are</w:t>
      </w:r>
      <w:r w:rsidR="002F1B01">
        <w:t xml:space="preserve"> </w:t>
      </w:r>
      <w:r>
        <w:t>eligible</w:t>
      </w:r>
      <w:r w:rsidR="002F1B01">
        <w:t xml:space="preserve"> </w:t>
      </w:r>
      <w:r>
        <w:t>as</w:t>
      </w:r>
      <w:r w:rsidR="002F1B01">
        <w:t xml:space="preserve"> </w:t>
      </w:r>
      <w:r>
        <w:t>part</w:t>
      </w:r>
      <w:r w:rsidR="002F1B01">
        <w:t xml:space="preserve"> </w:t>
      </w:r>
      <w:r>
        <w:t>of</w:t>
      </w:r>
      <w:r w:rsidR="002F1B01">
        <w:t xml:space="preserve"> </w:t>
      </w:r>
      <w:r>
        <w:t>those</w:t>
      </w:r>
      <w:r w:rsidR="002F1B01">
        <w:t xml:space="preserve"> </w:t>
      </w:r>
      <w:r>
        <w:t>activities.</w:t>
      </w:r>
    </w:p>
    <w:p w14:paraId="30782123" w14:textId="3DE14045" w:rsidR="00D86C89" w:rsidRPr="005F43AC" w:rsidRDefault="00463B5B" w:rsidP="3F04BC06">
      <w:pPr>
        <w:pStyle w:val="ListParagraph"/>
        <w:numPr>
          <w:ilvl w:val="0"/>
          <w:numId w:val="34"/>
        </w:numPr>
        <w:tabs>
          <w:tab w:val="left" w:pos="2790"/>
        </w:tabs>
      </w:pPr>
      <w:r>
        <w:t>Time</w:t>
      </w:r>
      <w:r w:rsidR="002F1B01">
        <w:t xml:space="preserve"> </w:t>
      </w:r>
      <w:r>
        <w:t>spent</w:t>
      </w:r>
      <w:r w:rsidR="002F1B01">
        <w:t xml:space="preserve"> </w:t>
      </w:r>
      <w:r>
        <w:t>preparing</w:t>
      </w:r>
      <w:r w:rsidR="002F1B01">
        <w:t xml:space="preserve"> </w:t>
      </w:r>
      <w:r>
        <w:t>the</w:t>
      </w:r>
      <w:r w:rsidR="002F1B01">
        <w:t xml:space="preserve"> </w:t>
      </w:r>
      <w:r>
        <w:t>annual</w:t>
      </w:r>
      <w:r w:rsidR="002F1B01">
        <w:t xml:space="preserve"> </w:t>
      </w:r>
      <w:r>
        <w:t>application</w:t>
      </w:r>
      <w:r w:rsidR="002F1B01">
        <w:t xml:space="preserve"> </w:t>
      </w:r>
      <w:r>
        <w:t>to</w:t>
      </w:r>
      <w:r w:rsidR="002F1B01">
        <w:t xml:space="preserve"> </w:t>
      </w:r>
      <w:r>
        <w:t>HUD</w:t>
      </w:r>
      <w:r w:rsidR="002F1B01">
        <w:t xml:space="preserve"> </w:t>
      </w:r>
      <w:r>
        <w:t>is</w:t>
      </w:r>
      <w:r w:rsidR="002F1B01">
        <w:t xml:space="preserve"> </w:t>
      </w:r>
      <w:r>
        <w:t>not</w:t>
      </w:r>
      <w:r w:rsidR="002F1B01">
        <w:t xml:space="preserve"> </w:t>
      </w:r>
      <w:r>
        <w:t>an</w:t>
      </w:r>
      <w:r w:rsidR="002F1B01">
        <w:t xml:space="preserve"> </w:t>
      </w:r>
      <w:r>
        <w:t>eligible</w:t>
      </w:r>
      <w:r w:rsidR="002F1B01">
        <w:t xml:space="preserve"> </w:t>
      </w:r>
      <w:r>
        <w:t>use</w:t>
      </w:r>
      <w:r w:rsidR="002F1B01">
        <w:t xml:space="preserve"> </w:t>
      </w:r>
      <w:r>
        <w:t>of</w:t>
      </w:r>
      <w:r w:rsidR="002F1B01">
        <w:t xml:space="preserve"> </w:t>
      </w:r>
      <w:r>
        <w:t>CoC</w:t>
      </w:r>
      <w:r w:rsidR="002F1B01">
        <w:t xml:space="preserve"> </w:t>
      </w:r>
      <w:r>
        <w:t>funds.</w:t>
      </w:r>
      <w:r>
        <w:tab/>
      </w:r>
      <w:r>
        <w:tab/>
      </w:r>
      <w:r>
        <w:tab/>
      </w:r>
    </w:p>
    <w:p w14:paraId="61D924C1" w14:textId="79E40A20" w:rsidR="3F04BC06" w:rsidRDefault="3F04BC06" w:rsidP="3F04BC06">
      <w:pPr>
        <w:pBdr>
          <w:bottom w:val="single" w:sz="12" w:space="1" w:color="auto"/>
        </w:pBdr>
        <w:tabs>
          <w:tab w:val="left" w:pos="2790"/>
        </w:tabs>
        <w:jc w:val="center"/>
        <w:rPr>
          <w:sz w:val="32"/>
          <w:szCs w:val="32"/>
        </w:rPr>
      </w:pPr>
    </w:p>
    <w:p w14:paraId="4A5B6E93" w14:textId="77777777" w:rsidR="00D036D5" w:rsidRDefault="00D036D5" w:rsidP="00D036D5">
      <w:pPr>
        <w:pBdr>
          <w:bottom w:val="single" w:sz="12" w:space="1" w:color="auto"/>
        </w:pBdr>
        <w:tabs>
          <w:tab w:val="left" w:pos="2790"/>
        </w:tabs>
        <w:jc w:val="center"/>
        <w:rPr>
          <w:sz w:val="32"/>
          <w:szCs w:val="32"/>
        </w:rPr>
      </w:pPr>
      <w:r>
        <w:rPr>
          <w:sz w:val="32"/>
          <w:szCs w:val="32"/>
        </w:rPr>
        <w:t>Later Responsibilities</w:t>
      </w:r>
    </w:p>
    <w:p w14:paraId="30ADD90A" w14:textId="05DF7224" w:rsidR="005E12BA" w:rsidRDefault="00463B5B" w:rsidP="005E12BA">
      <w:pPr>
        <w:tabs>
          <w:tab w:val="left" w:pos="2790"/>
        </w:tabs>
      </w:pPr>
      <w:r w:rsidRPr="00463B5B">
        <w:t>If</w:t>
      </w:r>
      <w:r w:rsidR="002F1B01">
        <w:t xml:space="preserve"> </w:t>
      </w:r>
      <w:r w:rsidRPr="00463B5B">
        <w:t>your</w:t>
      </w:r>
      <w:r w:rsidR="002F1B01">
        <w:t xml:space="preserve"> </w:t>
      </w:r>
      <w:r w:rsidRPr="00463B5B">
        <w:t>application</w:t>
      </w:r>
      <w:r w:rsidR="002F1B01">
        <w:t xml:space="preserve"> </w:t>
      </w:r>
      <w:r w:rsidRPr="00463B5B">
        <w:t>is</w:t>
      </w:r>
      <w:r w:rsidR="002F1B01">
        <w:t xml:space="preserve"> </w:t>
      </w:r>
      <w:r w:rsidRPr="00463B5B">
        <w:t>conditionally</w:t>
      </w:r>
      <w:r w:rsidR="002F1B01">
        <w:t xml:space="preserve"> </w:t>
      </w:r>
      <w:r w:rsidRPr="00463B5B">
        <w:t>awarded,</w:t>
      </w:r>
      <w:r w:rsidR="002F1B01">
        <w:t xml:space="preserve"> </w:t>
      </w:r>
      <w:r w:rsidRPr="00463B5B">
        <w:t>you</w:t>
      </w:r>
      <w:r w:rsidR="002F1B01">
        <w:t xml:space="preserve"> </w:t>
      </w:r>
      <w:r w:rsidRPr="00463B5B">
        <w:t>will</w:t>
      </w:r>
      <w:r w:rsidR="002F1B01">
        <w:t xml:space="preserve"> </w:t>
      </w:r>
      <w:r w:rsidRPr="00463B5B">
        <w:t>have</w:t>
      </w:r>
      <w:r w:rsidR="002F1B01">
        <w:t xml:space="preserve"> </w:t>
      </w:r>
      <w:proofErr w:type="gramStart"/>
      <w:r w:rsidRPr="00463B5B">
        <w:t>a</w:t>
      </w:r>
      <w:r w:rsidR="002F1B01">
        <w:t xml:space="preserve"> </w:t>
      </w:r>
      <w:r w:rsidRPr="00463B5B">
        <w:t>number</w:t>
      </w:r>
      <w:r w:rsidR="002F1B01">
        <w:t xml:space="preserve"> </w:t>
      </w:r>
      <w:r w:rsidRPr="00463B5B">
        <w:t>of</w:t>
      </w:r>
      <w:proofErr w:type="gramEnd"/>
      <w:r w:rsidR="002F1B01">
        <w:t xml:space="preserve"> </w:t>
      </w:r>
      <w:r w:rsidRPr="00463B5B">
        <w:t>responsibilities.</w:t>
      </w:r>
      <w:r w:rsidR="002F1B01">
        <w:t xml:space="preserve"> </w:t>
      </w:r>
      <w:r w:rsidRPr="00463B5B">
        <w:t>Please</w:t>
      </w:r>
      <w:r w:rsidR="002F1B01">
        <w:t xml:space="preserve"> </w:t>
      </w:r>
      <w:r w:rsidRPr="00463B5B">
        <w:t>be</w:t>
      </w:r>
      <w:r w:rsidR="002F1B01">
        <w:t xml:space="preserve"> </w:t>
      </w:r>
      <w:r w:rsidRPr="00463B5B">
        <w:t>sure</w:t>
      </w:r>
      <w:r w:rsidR="002F1B01">
        <w:t xml:space="preserve"> </w:t>
      </w:r>
      <w:r w:rsidRPr="00463B5B">
        <w:t>that</w:t>
      </w:r>
      <w:r w:rsidR="002F1B01">
        <w:t xml:space="preserve"> </w:t>
      </w:r>
      <w:r w:rsidRPr="00463B5B">
        <w:t>you</w:t>
      </w:r>
      <w:r w:rsidR="002F1B01">
        <w:t xml:space="preserve"> </w:t>
      </w:r>
      <w:proofErr w:type="gramStart"/>
      <w:r w:rsidRPr="00463B5B">
        <w:t>are</w:t>
      </w:r>
      <w:r w:rsidR="002F1B01">
        <w:t xml:space="preserve"> </w:t>
      </w:r>
      <w:r w:rsidRPr="00463B5B">
        <w:t>capable</w:t>
      </w:r>
      <w:r w:rsidR="002F1B01">
        <w:t xml:space="preserve"> </w:t>
      </w:r>
      <w:r w:rsidRPr="00463B5B">
        <w:t>of</w:t>
      </w:r>
      <w:r w:rsidR="002F1B01">
        <w:t xml:space="preserve"> </w:t>
      </w:r>
      <w:r w:rsidRPr="00463B5B">
        <w:t>carrying</w:t>
      </w:r>
      <w:proofErr w:type="gramEnd"/>
      <w:r w:rsidR="002F1B01">
        <w:t xml:space="preserve"> </w:t>
      </w:r>
      <w:r w:rsidRPr="00463B5B">
        <w:t>all</w:t>
      </w:r>
      <w:r w:rsidR="002F1B01">
        <w:t xml:space="preserve"> </w:t>
      </w:r>
      <w:r w:rsidRPr="00463B5B">
        <w:t>of</w:t>
      </w:r>
      <w:r w:rsidR="002F1B01">
        <w:t xml:space="preserve"> </w:t>
      </w:r>
      <w:r w:rsidRPr="00463B5B">
        <w:t>them</w:t>
      </w:r>
      <w:r w:rsidR="002F1B01">
        <w:t xml:space="preserve"> </w:t>
      </w:r>
      <w:r w:rsidRPr="00463B5B">
        <w:t>out</w:t>
      </w:r>
      <w:r w:rsidR="002F1B01">
        <w:t xml:space="preserve"> </w:t>
      </w:r>
      <w:r w:rsidRPr="00463B5B">
        <w:t>before</w:t>
      </w:r>
      <w:r w:rsidR="002F1B01">
        <w:t xml:space="preserve"> </w:t>
      </w:r>
      <w:r w:rsidRPr="00463B5B">
        <w:t>submitting</w:t>
      </w:r>
      <w:r w:rsidR="002F1B01">
        <w:t xml:space="preserve"> </w:t>
      </w:r>
      <w:r w:rsidRPr="00463B5B">
        <w:t>your</w:t>
      </w:r>
      <w:r w:rsidR="002F1B01">
        <w:t xml:space="preserve"> </w:t>
      </w:r>
      <w:r w:rsidRPr="00463B5B">
        <w:t>application.</w:t>
      </w:r>
      <w:r w:rsidR="002F1B01">
        <w:t xml:space="preserve"> </w:t>
      </w:r>
      <w:r w:rsidRPr="00463B5B">
        <w:t>The</w:t>
      </w:r>
      <w:r w:rsidR="002F1B01">
        <w:t xml:space="preserve"> </w:t>
      </w:r>
      <w:r w:rsidRPr="00463B5B">
        <w:t>list</w:t>
      </w:r>
      <w:r w:rsidR="002F1B01">
        <w:t xml:space="preserve"> </w:t>
      </w:r>
      <w:r w:rsidRPr="00463B5B">
        <w:t>that</w:t>
      </w:r>
      <w:r w:rsidR="002F1B01">
        <w:t xml:space="preserve"> </w:t>
      </w:r>
      <w:r w:rsidRPr="00463B5B">
        <w:t>follows</w:t>
      </w:r>
      <w:r w:rsidR="002F1B01">
        <w:t xml:space="preserve"> </w:t>
      </w:r>
      <w:r w:rsidRPr="00463B5B">
        <w:t>includes</w:t>
      </w:r>
      <w:r w:rsidR="002F1B01">
        <w:t xml:space="preserve"> </w:t>
      </w:r>
      <w:r w:rsidRPr="00463B5B">
        <w:t>some</w:t>
      </w:r>
      <w:r w:rsidR="002F1B01">
        <w:t xml:space="preserve"> </w:t>
      </w:r>
      <w:r w:rsidRPr="00463B5B">
        <w:t>of</w:t>
      </w:r>
      <w:r w:rsidR="002F1B01">
        <w:t xml:space="preserve"> </w:t>
      </w:r>
      <w:r w:rsidRPr="00463B5B">
        <w:t>the</w:t>
      </w:r>
      <w:r w:rsidR="002F1B01">
        <w:t xml:space="preserve"> </w:t>
      </w:r>
      <w:r w:rsidRPr="00463B5B">
        <w:t>recipient/subrecipient</w:t>
      </w:r>
      <w:r w:rsidR="002F1B01">
        <w:t xml:space="preserve"> </w:t>
      </w:r>
      <w:r w:rsidRPr="00463B5B">
        <w:t>responsibilities.</w:t>
      </w:r>
      <w:r w:rsidR="002F1B01">
        <w:t xml:space="preserve"> </w:t>
      </w:r>
      <w:r w:rsidR="00E25D18">
        <w:t>T</w:t>
      </w:r>
      <w:r w:rsidRPr="00463B5B">
        <w:t>hese</w:t>
      </w:r>
      <w:r w:rsidR="002F1B01">
        <w:t xml:space="preserve"> </w:t>
      </w:r>
      <w:r w:rsidRPr="00463B5B">
        <w:t>requirements</w:t>
      </w:r>
      <w:r w:rsidR="002F1B01">
        <w:t xml:space="preserve"> </w:t>
      </w:r>
      <w:r w:rsidRPr="00463B5B">
        <w:t>are</w:t>
      </w:r>
      <w:r w:rsidR="002F1B01">
        <w:t xml:space="preserve"> </w:t>
      </w:r>
      <w:r w:rsidRPr="00463B5B">
        <w:t>detailed</w:t>
      </w:r>
      <w:r w:rsidR="002F1B01">
        <w:t xml:space="preserve"> </w:t>
      </w:r>
      <w:r w:rsidRPr="00463B5B">
        <w:t>in</w:t>
      </w:r>
      <w:r w:rsidR="002F1B01">
        <w:t xml:space="preserve"> </w:t>
      </w:r>
      <w:r w:rsidRPr="00463B5B">
        <w:t>the</w:t>
      </w:r>
      <w:r w:rsidR="002F1B01">
        <w:t xml:space="preserve"> </w:t>
      </w:r>
      <w:r w:rsidR="006F68C7">
        <w:t>2023</w:t>
      </w:r>
      <w:r w:rsidR="002F1B01">
        <w:t xml:space="preserve"> </w:t>
      </w:r>
      <w:r w:rsidRPr="00463B5B">
        <w:t>General</w:t>
      </w:r>
      <w:r w:rsidR="002F1B01">
        <w:t xml:space="preserve"> </w:t>
      </w:r>
      <w:r w:rsidRPr="00463B5B">
        <w:t>Section</w:t>
      </w:r>
      <w:r w:rsidR="002F1B01">
        <w:t xml:space="preserve"> </w:t>
      </w:r>
      <w:r w:rsidRPr="00463B5B">
        <w:t>NOFA,</w:t>
      </w:r>
      <w:r w:rsidR="002F1B01">
        <w:t xml:space="preserve"> </w:t>
      </w:r>
      <w:r w:rsidR="006F68C7">
        <w:t>2023</w:t>
      </w:r>
      <w:r w:rsidR="002F1B01">
        <w:t xml:space="preserve"> </w:t>
      </w:r>
      <w:r w:rsidRPr="00463B5B">
        <w:t>CoC</w:t>
      </w:r>
      <w:r w:rsidR="002F1B01">
        <w:t xml:space="preserve"> </w:t>
      </w:r>
      <w:r w:rsidRPr="00463B5B">
        <w:t>Program</w:t>
      </w:r>
      <w:r w:rsidR="002F1B01">
        <w:t xml:space="preserve"> </w:t>
      </w:r>
      <w:r w:rsidRPr="00463B5B">
        <w:t>NOFA,</w:t>
      </w:r>
      <w:r w:rsidR="002F1B01">
        <w:t xml:space="preserve"> </w:t>
      </w:r>
      <w:r w:rsidRPr="00463B5B">
        <w:t>and</w:t>
      </w:r>
      <w:r w:rsidR="002F1B01">
        <w:t xml:space="preserve"> </w:t>
      </w:r>
      <w:r w:rsidRPr="00463B5B">
        <w:t>the</w:t>
      </w:r>
      <w:r w:rsidR="006D78A5">
        <w:t xml:space="preserve"> </w:t>
      </w:r>
      <w:r w:rsidRPr="00463B5B">
        <w:t>CoC</w:t>
      </w:r>
      <w:r w:rsidR="006D78A5">
        <w:t xml:space="preserve"> </w:t>
      </w:r>
      <w:r w:rsidRPr="00463B5B">
        <w:t>Interim</w:t>
      </w:r>
      <w:r w:rsidR="006D78A5">
        <w:t xml:space="preserve"> </w:t>
      </w:r>
      <w:r w:rsidRPr="00463B5B">
        <w:t>Program</w:t>
      </w:r>
      <w:r w:rsidR="006D78A5">
        <w:t xml:space="preserve"> </w:t>
      </w:r>
      <w:r w:rsidRPr="00463B5B">
        <w:t>Rule</w:t>
      </w:r>
      <w:r w:rsidR="006D78A5">
        <w:t xml:space="preserve"> </w:t>
      </w:r>
      <w:r w:rsidRPr="00463B5B">
        <w:t>(24</w:t>
      </w:r>
      <w:r w:rsidR="006D78A5">
        <w:t xml:space="preserve"> </w:t>
      </w:r>
      <w:r w:rsidRPr="00463B5B">
        <w:t>CFR</w:t>
      </w:r>
      <w:r w:rsidR="006D78A5">
        <w:t xml:space="preserve"> </w:t>
      </w:r>
      <w:r w:rsidRPr="00463B5B">
        <w:t>578).</w:t>
      </w:r>
      <w:r w:rsidR="006D78A5">
        <w:t xml:space="preserve">  </w:t>
      </w:r>
      <w:r w:rsidRPr="00463B5B">
        <w:t>All</w:t>
      </w:r>
      <w:r w:rsidR="006D78A5">
        <w:t xml:space="preserve"> </w:t>
      </w:r>
      <w:r w:rsidRPr="00463B5B">
        <w:t>grant</w:t>
      </w:r>
      <w:r w:rsidR="006D78A5">
        <w:t xml:space="preserve"> </w:t>
      </w:r>
      <w:r w:rsidRPr="00463B5B">
        <w:t>recipients</w:t>
      </w:r>
      <w:r w:rsidR="006D78A5">
        <w:t xml:space="preserve"> </w:t>
      </w:r>
      <w:r w:rsidRPr="00463B5B">
        <w:t>and</w:t>
      </w:r>
      <w:r w:rsidR="006D78A5">
        <w:t xml:space="preserve"> </w:t>
      </w:r>
      <w:r w:rsidRPr="00463B5B">
        <w:t>subrecipients</w:t>
      </w:r>
      <w:r w:rsidR="006D78A5">
        <w:t xml:space="preserve"> </w:t>
      </w:r>
      <w:r w:rsidRPr="00463B5B">
        <w:t>should</w:t>
      </w:r>
      <w:r w:rsidR="006D78A5">
        <w:t xml:space="preserve"> </w:t>
      </w:r>
      <w:r w:rsidRPr="00463B5B">
        <w:t>read</w:t>
      </w:r>
      <w:r w:rsidR="006D78A5">
        <w:t xml:space="preserve"> </w:t>
      </w:r>
      <w:r w:rsidRPr="00463B5B">
        <w:t>these</w:t>
      </w:r>
      <w:r w:rsidR="006D78A5">
        <w:t xml:space="preserve"> </w:t>
      </w:r>
      <w:r w:rsidRPr="00463B5B">
        <w:t>three</w:t>
      </w:r>
      <w:r w:rsidR="006D78A5">
        <w:t xml:space="preserve"> </w:t>
      </w:r>
      <w:r w:rsidRPr="00463B5B">
        <w:t>documents</w:t>
      </w:r>
      <w:r w:rsidR="006D78A5">
        <w:t xml:space="preserve"> </w:t>
      </w:r>
      <w:r w:rsidRPr="00463B5B">
        <w:t>carefully.</w:t>
      </w:r>
      <w:r w:rsidRPr="00463B5B">
        <w:tab/>
      </w:r>
    </w:p>
    <w:p w14:paraId="186C3418" w14:textId="77777777" w:rsidR="006D78A5" w:rsidRDefault="00463B5B" w:rsidP="00463B5B">
      <w:pPr>
        <w:tabs>
          <w:tab w:val="left" w:pos="2790"/>
        </w:tabs>
      </w:pPr>
      <w:r w:rsidRPr="006D78A5">
        <w:rPr>
          <w:b/>
        </w:rPr>
        <w:t>Pre-Contract</w:t>
      </w:r>
      <w:r w:rsidR="006D78A5" w:rsidRPr="006D78A5">
        <w:rPr>
          <w:b/>
        </w:rPr>
        <w:t xml:space="preserve"> </w:t>
      </w:r>
      <w:r w:rsidRPr="006D78A5">
        <w:rPr>
          <w:b/>
        </w:rPr>
        <w:t>Requirements:</w:t>
      </w:r>
    </w:p>
    <w:p w14:paraId="0A173FEF" w14:textId="77777777" w:rsidR="006D78A5" w:rsidRDefault="00463B5B" w:rsidP="006D78A5">
      <w:pPr>
        <w:pStyle w:val="ListParagraph"/>
        <w:numPr>
          <w:ilvl w:val="0"/>
          <w:numId w:val="35"/>
        </w:numPr>
        <w:tabs>
          <w:tab w:val="left" w:pos="2790"/>
        </w:tabs>
      </w:pPr>
      <w:r>
        <w:t>Proof</w:t>
      </w:r>
      <w:r w:rsidR="006D78A5">
        <w:t xml:space="preserve"> </w:t>
      </w:r>
      <w:r>
        <w:t>of</w:t>
      </w:r>
      <w:r w:rsidR="006D78A5">
        <w:t xml:space="preserve"> </w:t>
      </w:r>
      <w:r>
        <w:t>site</w:t>
      </w:r>
      <w:r w:rsidR="006D78A5">
        <w:t xml:space="preserve"> </w:t>
      </w:r>
      <w:r>
        <w:t>control,</w:t>
      </w:r>
      <w:r w:rsidR="006D78A5">
        <w:t xml:space="preserve"> </w:t>
      </w:r>
      <w:r>
        <w:t>match,</w:t>
      </w:r>
      <w:r w:rsidR="006D78A5">
        <w:t xml:space="preserve"> </w:t>
      </w:r>
      <w:r>
        <w:t>environmental</w:t>
      </w:r>
      <w:r w:rsidR="006D78A5">
        <w:t xml:space="preserve"> </w:t>
      </w:r>
      <w:r>
        <w:t>review,</w:t>
      </w:r>
      <w:r w:rsidR="006D78A5">
        <w:t xml:space="preserve"> </w:t>
      </w:r>
      <w:r>
        <w:t>and</w:t>
      </w:r>
      <w:r w:rsidR="006D78A5">
        <w:t xml:space="preserve"> </w:t>
      </w:r>
      <w:r>
        <w:t>the</w:t>
      </w:r>
      <w:r w:rsidR="006D78A5">
        <w:t xml:space="preserve"> </w:t>
      </w:r>
      <w:r>
        <w:t>documentation</w:t>
      </w:r>
      <w:r w:rsidR="006D78A5">
        <w:t xml:space="preserve"> </w:t>
      </w:r>
      <w:r>
        <w:t>of</w:t>
      </w:r>
      <w:r w:rsidR="006D78A5">
        <w:t xml:space="preserve"> </w:t>
      </w:r>
      <w:r>
        <w:t>financial</w:t>
      </w:r>
      <w:r w:rsidR="006D78A5">
        <w:t xml:space="preserve"> </w:t>
      </w:r>
      <w:r>
        <w:t>feasibility</w:t>
      </w:r>
      <w:r w:rsidR="006D78A5">
        <w:t xml:space="preserve"> </w:t>
      </w:r>
      <w:r>
        <w:t>must</w:t>
      </w:r>
      <w:r w:rsidR="006D78A5">
        <w:t xml:space="preserve"> </w:t>
      </w:r>
      <w:r>
        <w:t>be</w:t>
      </w:r>
      <w:r w:rsidR="006D78A5">
        <w:t xml:space="preserve"> </w:t>
      </w:r>
      <w:r>
        <w:t>completed</w:t>
      </w:r>
      <w:r w:rsidR="006D78A5">
        <w:t xml:space="preserve"> </w:t>
      </w:r>
      <w:r>
        <w:t>within</w:t>
      </w:r>
      <w:r w:rsidR="006D78A5">
        <w:t xml:space="preserve"> </w:t>
      </w:r>
      <w:r>
        <w:t>12</w:t>
      </w:r>
      <w:r w:rsidR="006D78A5">
        <w:t xml:space="preserve"> </w:t>
      </w:r>
      <w:r>
        <w:t>months</w:t>
      </w:r>
      <w:r w:rsidR="006D78A5">
        <w:t xml:space="preserve"> </w:t>
      </w:r>
      <w:r>
        <w:t>of</w:t>
      </w:r>
      <w:r w:rsidR="006D78A5">
        <w:t xml:space="preserve"> </w:t>
      </w:r>
      <w:r>
        <w:t>the</w:t>
      </w:r>
      <w:r w:rsidR="006D78A5">
        <w:t xml:space="preserve"> </w:t>
      </w:r>
      <w:r>
        <w:t>announcement</w:t>
      </w:r>
      <w:r w:rsidR="006D78A5">
        <w:t xml:space="preserve"> </w:t>
      </w:r>
      <w:r>
        <w:t>of</w:t>
      </w:r>
      <w:r w:rsidR="006D78A5">
        <w:t xml:space="preserve"> </w:t>
      </w:r>
      <w:r>
        <w:t>the</w:t>
      </w:r>
      <w:r w:rsidR="006D78A5">
        <w:t xml:space="preserve"> </w:t>
      </w:r>
      <w:r>
        <w:t>award,</w:t>
      </w:r>
      <w:r w:rsidR="006D78A5">
        <w:t xml:space="preserve"> </w:t>
      </w:r>
      <w:r>
        <w:t>or</w:t>
      </w:r>
      <w:r w:rsidR="006D78A5">
        <w:t xml:space="preserve"> </w:t>
      </w:r>
      <w:r>
        <w:t>24</w:t>
      </w:r>
      <w:r w:rsidR="006D78A5">
        <w:t xml:space="preserve"> </w:t>
      </w:r>
      <w:r>
        <w:t>months</w:t>
      </w:r>
      <w:r w:rsidR="006D78A5">
        <w:t xml:space="preserve"> </w:t>
      </w:r>
      <w:r>
        <w:t>in</w:t>
      </w:r>
      <w:r w:rsidR="006D78A5">
        <w:t xml:space="preserve"> </w:t>
      </w:r>
      <w:r>
        <w:t>the</w:t>
      </w:r>
      <w:r w:rsidR="006D78A5">
        <w:t xml:space="preserve"> </w:t>
      </w:r>
      <w:r>
        <w:t>case</w:t>
      </w:r>
      <w:r w:rsidR="006D78A5">
        <w:t xml:space="preserve"> </w:t>
      </w:r>
      <w:r>
        <w:t>of</w:t>
      </w:r>
      <w:r w:rsidR="006D78A5">
        <w:t xml:space="preserve"> </w:t>
      </w:r>
      <w:r>
        <w:t>funds</w:t>
      </w:r>
      <w:r w:rsidR="006D78A5">
        <w:t xml:space="preserve"> </w:t>
      </w:r>
      <w:r>
        <w:t>for</w:t>
      </w:r>
      <w:r w:rsidR="006D78A5">
        <w:t xml:space="preserve"> </w:t>
      </w:r>
      <w:r>
        <w:t>acquisition,</w:t>
      </w:r>
      <w:r w:rsidR="006D78A5">
        <w:t xml:space="preserve"> </w:t>
      </w:r>
      <w:r>
        <w:t>rehabilitation,</w:t>
      </w:r>
      <w:r w:rsidR="006D78A5">
        <w:t xml:space="preserve"> </w:t>
      </w:r>
      <w:r>
        <w:t>or</w:t>
      </w:r>
      <w:r w:rsidR="006D78A5">
        <w:t xml:space="preserve"> </w:t>
      </w:r>
      <w:r>
        <w:t>new</w:t>
      </w:r>
      <w:r w:rsidR="006D78A5">
        <w:t xml:space="preserve"> </w:t>
      </w:r>
      <w:r>
        <w:t>construction.</w:t>
      </w:r>
      <w:r w:rsidR="006D78A5">
        <w:t xml:space="preserve"> </w:t>
      </w:r>
      <w:r>
        <w:t>The</w:t>
      </w:r>
      <w:r w:rsidR="006D78A5">
        <w:t xml:space="preserve"> </w:t>
      </w:r>
      <w:r>
        <w:t>12-month</w:t>
      </w:r>
      <w:r w:rsidR="006D78A5">
        <w:t xml:space="preserve"> </w:t>
      </w:r>
      <w:r>
        <w:t>deadline</w:t>
      </w:r>
      <w:r w:rsidR="006D78A5">
        <w:t xml:space="preserve"> </w:t>
      </w:r>
      <w:r>
        <w:t>may</w:t>
      </w:r>
      <w:r w:rsidR="006D78A5">
        <w:t xml:space="preserve"> </w:t>
      </w:r>
      <w:r>
        <w:t>be</w:t>
      </w:r>
      <w:r w:rsidR="006D78A5">
        <w:t xml:space="preserve"> </w:t>
      </w:r>
      <w:r>
        <w:t>extended</w:t>
      </w:r>
      <w:r w:rsidR="006D78A5">
        <w:t xml:space="preserve"> </w:t>
      </w:r>
      <w:r>
        <w:t>by</w:t>
      </w:r>
      <w:r w:rsidR="006D78A5">
        <w:t xml:space="preserve"> </w:t>
      </w:r>
      <w:r>
        <w:t>HUD</w:t>
      </w:r>
      <w:r w:rsidR="006D78A5">
        <w:t xml:space="preserve"> </w:t>
      </w:r>
      <w:r>
        <w:t>for</w:t>
      </w:r>
      <w:r w:rsidR="006D78A5">
        <w:t xml:space="preserve"> </w:t>
      </w:r>
      <w:r>
        <w:t>up</w:t>
      </w:r>
      <w:r w:rsidR="006D78A5">
        <w:t xml:space="preserve"> </w:t>
      </w:r>
      <w:r>
        <w:t>to</w:t>
      </w:r>
      <w:r w:rsidR="006D78A5">
        <w:t xml:space="preserve"> </w:t>
      </w:r>
      <w:r>
        <w:t>12</w:t>
      </w:r>
      <w:r w:rsidR="006D78A5">
        <w:t xml:space="preserve"> </w:t>
      </w:r>
      <w:r>
        <w:t>additional</w:t>
      </w:r>
      <w:r w:rsidR="006D78A5">
        <w:t xml:space="preserve"> </w:t>
      </w:r>
      <w:r>
        <w:t>months</w:t>
      </w:r>
      <w:r w:rsidR="006D78A5">
        <w:t xml:space="preserve"> </w:t>
      </w:r>
      <w:r>
        <w:t>upon</w:t>
      </w:r>
      <w:r w:rsidR="006D78A5">
        <w:t xml:space="preserve"> </w:t>
      </w:r>
      <w:r>
        <w:t>a</w:t>
      </w:r>
      <w:r w:rsidR="006D78A5">
        <w:t xml:space="preserve"> </w:t>
      </w:r>
      <w:r>
        <w:t>showing</w:t>
      </w:r>
      <w:r w:rsidR="006D78A5">
        <w:t xml:space="preserve"> </w:t>
      </w:r>
      <w:r>
        <w:t>of</w:t>
      </w:r>
      <w:r w:rsidR="006D78A5">
        <w:t xml:space="preserve"> </w:t>
      </w:r>
      <w:r>
        <w:t>compelling</w:t>
      </w:r>
      <w:r w:rsidR="006D78A5">
        <w:t xml:space="preserve"> </w:t>
      </w:r>
      <w:r>
        <w:t>reasons</w:t>
      </w:r>
      <w:r w:rsidR="006D78A5">
        <w:t xml:space="preserve"> </w:t>
      </w:r>
      <w:r>
        <w:t>for</w:t>
      </w:r>
      <w:r w:rsidR="006D78A5">
        <w:t xml:space="preserve"> </w:t>
      </w:r>
      <w:r>
        <w:t>delay</w:t>
      </w:r>
      <w:r w:rsidR="006D78A5">
        <w:t xml:space="preserve"> </w:t>
      </w:r>
      <w:r>
        <w:t>due</w:t>
      </w:r>
      <w:r w:rsidR="006D78A5">
        <w:t xml:space="preserve"> </w:t>
      </w:r>
      <w:r>
        <w:t>to</w:t>
      </w:r>
      <w:r w:rsidR="006D78A5">
        <w:t xml:space="preserve"> </w:t>
      </w:r>
      <w:r>
        <w:t>factors</w:t>
      </w:r>
      <w:r w:rsidR="006D78A5">
        <w:t xml:space="preserve"> </w:t>
      </w:r>
      <w:r>
        <w:t>beyond</w:t>
      </w:r>
      <w:r w:rsidR="006D78A5">
        <w:t xml:space="preserve"> </w:t>
      </w:r>
      <w:r>
        <w:t>the</w:t>
      </w:r>
      <w:r w:rsidR="006D78A5">
        <w:t xml:space="preserve"> </w:t>
      </w:r>
      <w:r>
        <w:t>control</w:t>
      </w:r>
      <w:r w:rsidR="006D78A5">
        <w:t xml:space="preserve"> </w:t>
      </w:r>
      <w:r>
        <w:t>of</w:t>
      </w:r>
      <w:r w:rsidR="006D78A5">
        <w:t xml:space="preserve"> </w:t>
      </w:r>
      <w:r>
        <w:t>the</w:t>
      </w:r>
      <w:r w:rsidR="006D78A5">
        <w:t xml:space="preserve"> </w:t>
      </w:r>
      <w:r>
        <w:t>recipient</w:t>
      </w:r>
      <w:r w:rsidR="006D78A5">
        <w:t xml:space="preserve"> </w:t>
      </w:r>
      <w:r>
        <w:t>or</w:t>
      </w:r>
      <w:r w:rsidR="006D78A5">
        <w:t xml:space="preserve"> </w:t>
      </w:r>
      <w:r>
        <w:t>subrecipient.</w:t>
      </w:r>
    </w:p>
    <w:p w14:paraId="38FC64AE" w14:textId="77777777" w:rsidR="006D78A5" w:rsidRDefault="006D78A5" w:rsidP="00463B5B">
      <w:pPr>
        <w:pStyle w:val="ListParagraph"/>
        <w:numPr>
          <w:ilvl w:val="0"/>
          <w:numId w:val="35"/>
        </w:numPr>
        <w:tabs>
          <w:tab w:val="left" w:pos="2790"/>
        </w:tabs>
      </w:pPr>
      <w:r>
        <w:t>Bi-</w:t>
      </w:r>
      <w:r w:rsidR="00463B5B" w:rsidRPr="00463B5B">
        <w:t>Annual</w:t>
      </w:r>
      <w:r>
        <w:t xml:space="preserve"> </w:t>
      </w:r>
      <w:r w:rsidR="00463B5B" w:rsidRPr="00463B5B">
        <w:t>Audits:</w:t>
      </w:r>
      <w:r>
        <w:t xml:space="preserve"> </w:t>
      </w:r>
      <w:r w:rsidR="00463B5B" w:rsidRPr="00463B5B">
        <w:t>Any</w:t>
      </w:r>
      <w:r>
        <w:t xml:space="preserve"> </w:t>
      </w:r>
      <w:r w:rsidR="00463B5B" w:rsidRPr="00463B5B">
        <w:t>recipient</w:t>
      </w:r>
      <w:r>
        <w:t xml:space="preserve"> </w:t>
      </w:r>
      <w:r w:rsidR="00463B5B" w:rsidRPr="00463B5B">
        <w:t>expending</w:t>
      </w:r>
      <w:r>
        <w:t xml:space="preserve"> </w:t>
      </w:r>
      <w:r w:rsidR="00463B5B" w:rsidRPr="00463B5B">
        <w:t>$750,000</w:t>
      </w:r>
      <w:r>
        <w:t xml:space="preserve"> </w:t>
      </w:r>
      <w:r w:rsidR="00463B5B" w:rsidRPr="00463B5B">
        <w:t>or</w:t>
      </w:r>
      <w:r>
        <w:t xml:space="preserve"> </w:t>
      </w:r>
      <w:r w:rsidR="00463B5B" w:rsidRPr="00463B5B">
        <w:t>more</w:t>
      </w:r>
      <w:r>
        <w:t xml:space="preserve"> </w:t>
      </w:r>
      <w:r w:rsidR="00463B5B" w:rsidRPr="00463B5B">
        <w:t>in</w:t>
      </w:r>
      <w:r>
        <w:t xml:space="preserve"> </w:t>
      </w:r>
      <w:r w:rsidR="00463B5B" w:rsidRPr="00463B5B">
        <w:t>a</w:t>
      </w:r>
      <w:r>
        <w:t xml:space="preserve"> </w:t>
      </w:r>
      <w:r w:rsidR="00463B5B" w:rsidRPr="00463B5B">
        <w:t>year</w:t>
      </w:r>
      <w:r>
        <w:t xml:space="preserve"> </w:t>
      </w:r>
      <w:r w:rsidR="00463B5B" w:rsidRPr="00463B5B">
        <w:t>in</w:t>
      </w:r>
      <w:r>
        <w:t xml:space="preserve"> </w:t>
      </w:r>
      <w:r w:rsidR="00463B5B" w:rsidRPr="00463B5B">
        <w:t>federal</w:t>
      </w:r>
      <w:r>
        <w:t xml:space="preserve"> </w:t>
      </w:r>
      <w:r w:rsidR="00463B5B" w:rsidRPr="00463B5B">
        <w:t>funds</w:t>
      </w:r>
      <w:r>
        <w:t xml:space="preserve"> </w:t>
      </w:r>
      <w:r w:rsidR="00463B5B" w:rsidRPr="00463B5B">
        <w:t>must</w:t>
      </w:r>
      <w:r>
        <w:t xml:space="preserve"> </w:t>
      </w:r>
      <w:r w:rsidR="00463B5B" w:rsidRPr="00463B5B">
        <w:t>conduct</w:t>
      </w:r>
      <w:r>
        <w:t xml:space="preserve"> </w:t>
      </w:r>
      <w:r w:rsidR="00463B5B" w:rsidRPr="00463B5B">
        <w:t>a</w:t>
      </w:r>
      <w:r>
        <w:t xml:space="preserve"> </w:t>
      </w:r>
      <w:r w:rsidR="00463B5B" w:rsidRPr="00463B5B">
        <w:t>single</w:t>
      </w:r>
      <w:r>
        <w:t xml:space="preserve"> </w:t>
      </w:r>
      <w:r w:rsidR="00463B5B" w:rsidRPr="00463B5B">
        <w:t>or</w:t>
      </w:r>
      <w:r>
        <w:t xml:space="preserve"> </w:t>
      </w:r>
      <w:r w:rsidR="00463B5B" w:rsidRPr="00463B5B">
        <w:t>program-specific</w:t>
      </w:r>
      <w:r>
        <w:t xml:space="preserve"> </w:t>
      </w:r>
      <w:r w:rsidR="00463B5B" w:rsidRPr="00463B5B">
        <w:t>audit</w:t>
      </w:r>
      <w:r>
        <w:t xml:space="preserve"> </w:t>
      </w:r>
      <w:r w:rsidR="00463B5B" w:rsidRPr="00463B5B">
        <w:t>for</w:t>
      </w:r>
      <w:r>
        <w:t xml:space="preserve"> </w:t>
      </w:r>
      <w:r w:rsidR="00463B5B" w:rsidRPr="00463B5B">
        <w:t>that</w:t>
      </w:r>
      <w:r>
        <w:t xml:space="preserve"> </w:t>
      </w:r>
      <w:r w:rsidR="00463B5B" w:rsidRPr="00463B5B">
        <w:t>year</w:t>
      </w:r>
      <w:r>
        <w:t xml:space="preserve"> </w:t>
      </w:r>
      <w:r w:rsidR="00463B5B" w:rsidRPr="00463B5B">
        <w:t>in</w:t>
      </w:r>
      <w:r>
        <w:t xml:space="preserve"> </w:t>
      </w:r>
      <w:r w:rsidR="00463B5B" w:rsidRPr="00463B5B">
        <w:t>accordance</w:t>
      </w:r>
      <w:r>
        <w:t xml:space="preserve"> </w:t>
      </w:r>
      <w:r w:rsidR="00463B5B" w:rsidRPr="00463B5B">
        <w:t>with</w:t>
      </w:r>
      <w:r>
        <w:t xml:space="preserve"> </w:t>
      </w:r>
      <w:r w:rsidR="00463B5B" w:rsidRPr="00463B5B">
        <w:t>the</w:t>
      </w:r>
      <w:r>
        <w:t xml:space="preserve"> </w:t>
      </w:r>
      <w:r w:rsidR="00463B5B" w:rsidRPr="00463B5B">
        <w:t>provisions</w:t>
      </w:r>
      <w:r>
        <w:t xml:space="preserve"> </w:t>
      </w:r>
      <w:r w:rsidR="00463B5B" w:rsidRPr="00463B5B">
        <w:t>of</w:t>
      </w:r>
      <w:r>
        <w:t xml:space="preserve"> </w:t>
      </w:r>
      <w:r w:rsidR="00463B5B" w:rsidRPr="00463B5B">
        <w:t>OMB</w:t>
      </w:r>
      <w:r>
        <w:t xml:space="preserve"> </w:t>
      </w:r>
      <w:r w:rsidR="00463B5B" w:rsidRPr="00463B5B">
        <w:t>Circular</w:t>
      </w:r>
      <w:r>
        <w:t xml:space="preserve"> </w:t>
      </w:r>
      <w:r w:rsidR="00463B5B" w:rsidRPr="00463B5B">
        <w:t>No.</w:t>
      </w:r>
      <w:r>
        <w:t xml:space="preserve"> </w:t>
      </w:r>
      <w:r w:rsidR="00463B5B" w:rsidRPr="00463B5B">
        <w:t>A-133.</w:t>
      </w:r>
    </w:p>
    <w:p w14:paraId="45AF2B2C" w14:textId="77777777" w:rsidR="006D78A5" w:rsidRDefault="00463B5B" w:rsidP="005E12BA">
      <w:pPr>
        <w:pStyle w:val="ListParagraph"/>
        <w:numPr>
          <w:ilvl w:val="0"/>
          <w:numId w:val="35"/>
        </w:numPr>
        <w:tabs>
          <w:tab w:val="left" w:pos="2790"/>
        </w:tabs>
      </w:pPr>
      <w:r w:rsidRPr="00463B5B">
        <w:t>Annual</w:t>
      </w:r>
      <w:r w:rsidR="006D78A5">
        <w:t xml:space="preserve"> </w:t>
      </w:r>
      <w:r w:rsidRPr="00463B5B">
        <w:t>Performance</w:t>
      </w:r>
      <w:r w:rsidR="006D78A5">
        <w:t xml:space="preserve"> </w:t>
      </w:r>
      <w:r w:rsidRPr="00463B5B">
        <w:t>Reports</w:t>
      </w:r>
      <w:r w:rsidR="006D78A5">
        <w:t xml:space="preserve"> </w:t>
      </w:r>
      <w:r w:rsidRPr="00463B5B">
        <w:t>(APR):</w:t>
      </w:r>
      <w:r w:rsidR="006D78A5">
        <w:t xml:space="preserve"> </w:t>
      </w:r>
      <w:r w:rsidRPr="00463B5B">
        <w:t>Your</w:t>
      </w:r>
      <w:r w:rsidR="006D78A5">
        <w:t xml:space="preserve"> </w:t>
      </w:r>
      <w:r w:rsidRPr="00463B5B">
        <w:t>agency</w:t>
      </w:r>
      <w:r w:rsidR="006D78A5">
        <w:t xml:space="preserve"> </w:t>
      </w:r>
      <w:r w:rsidRPr="00463B5B">
        <w:t>will</w:t>
      </w:r>
      <w:r w:rsidR="006D78A5">
        <w:t xml:space="preserve"> </w:t>
      </w:r>
      <w:r w:rsidRPr="00463B5B">
        <w:t>be</w:t>
      </w:r>
      <w:r w:rsidR="006D78A5">
        <w:t xml:space="preserve"> </w:t>
      </w:r>
      <w:r w:rsidRPr="00463B5B">
        <w:t>responsible</w:t>
      </w:r>
      <w:r w:rsidR="006D78A5">
        <w:t xml:space="preserve"> </w:t>
      </w:r>
      <w:r w:rsidRPr="00463B5B">
        <w:t>for</w:t>
      </w:r>
      <w:r w:rsidR="006D78A5">
        <w:t xml:space="preserve"> </w:t>
      </w:r>
      <w:r w:rsidRPr="00463B5B">
        <w:t>submitting</w:t>
      </w:r>
      <w:r w:rsidR="006D78A5">
        <w:t xml:space="preserve"> </w:t>
      </w:r>
      <w:r w:rsidRPr="00463B5B">
        <w:t>an</w:t>
      </w:r>
      <w:r w:rsidR="006D78A5">
        <w:t xml:space="preserve"> </w:t>
      </w:r>
      <w:r w:rsidRPr="00463B5B">
        <w:t>APR</w:t>
      </w:r>
      <w:r w:rsidR="006D78A5">
        <w:t xml:space="preserve"> </w:t>
      </w:r>
      <w:r w:rsidRPr="00463B5B">
        <w:t>for</w:t>
      </w:r>
      <w:r w:rsidR="006D78A5">
        <w:t xml:space="preserve"> </w:t>
      </w:r>
      <w:r w:rsidRPr="00463B5B">
        <w:t>each</w:t>
      </w:r>
      <w:r w:rsidR="006D78A5">
        <w:t xml:space="preserve"> </w:t>
      </w:r>
      <w:r w:rsidRPr="00463B5B">
        <w:t>project</w:t>
      </w:r>
      <w:r w:rsidR="006D78A5">
        <w:t xml:space="preserve"> </w:t>
      </w:r>
      <w:r w:rsidRPr="00463B5B">
        <w:t>every</w:t>
      </w:r>
      <w:r w:rsidR="006D78A5">
        <w:t xml:space="preserve"> </w:t>
      </w:r>
      <w:r w:rsidRPr="00463B5B">
        <w:t>year,</w:t>
      </w:r>
      <w:r w:rsidR="006D78A5">
        <w:t xml:space="preserve"> </w:t>
      </w:r>
      <w:r w:rsidRPr="00463B5B">
        <w:t>which</w:t>
      </w:r>
      <w:r w:rsidR="006D78A5">
        <w:t xml:space="preserve"> </w:t>
      </w:r>
      <w:r w:rsidRPr="00463B5B">
        <w:t>provides</w:t>
      </w:r>
      <w:r w:rsidR="006D78A5">
        <w:t xml:space="preserve"> </w:t>
      </w:r>
      <w:r w:rsidRPr="00463B5B">
        <w:t>client</w:t>
      </w:r>
      <w:r w:rsidR="006D78A5">
        <w:t xml:space="preserve"> </w:t>
      </w:r>
      <w:r w:rsidRPr="00463B5B">
        <w:t>data,</w:t>
      </w:r>
      <w:r w:rsidR="006D78A5">
        <w:t xml:space="preserve"> </w:t>
      </w:r>
      <w:r w:rsidRPr="00463B5B">
        <w:t>service</w:t>
      </w:r>
      <w:r w:rsidR="006D78A5">
        <w:t xml:space="preserve"> </w:t>
      </w:r>
      <w:r w:rsidRPr="00463B5B">
        <w:t>utilization</w:t>
      </w:r>
      <w:r w:rsidR="006D78A5">
        <w:t xml:space="preserve"> </w:t>
      </w:r>
      <w:r w:rsidRPr="00463B5B">
        <w:t>information,</w:t>
      </w:r>
      <w:r w:rsidR="006D78A5">
        <w:t xml:space="preserve"> </w:t>
      </w:r>
      <w:r w:rsidRPr="00463B5B">
        <w:t>program</w:t>
      </w:r>
      <w:r w:rsidR="006D78A5">
        <w:t xml:space="preserve"> </w:t>
      </w:r>
      <w:r w:rsidRPr="00463B5B">
        <w:t>outcomes,</w:t>
      </w:r>
      <w:r w:rsidR="006D78A5">
        <w:t xml:space="preserve"> </w:t>
      </w:r>
      <w:r w:rsidRPr="00463B5B">
        <w:t>and</w:t>
      </w:r>
      <w:r w:rsidR="006D78A5">
        <w:t xml:space="preserve"> </w:t>
      </w:r>
      <w:r w:rsidRPr="00463B5B">
        <w:t>financial</w:t>
      </w:r>
      <w:r w:rsidR="006D78A5">
        <w:t xml:space="preserve"> </w:t>
      </w:r>
      <w:r w:rsidRPr="00463B5B">
        <w:t>information.</w:t>
      </w:r>
      <w:r w:rsidR="006D78A5">
        <w:t xml:space="preserve"> </w:t>
      </w:r>
      <w:r w:rsidRPr="00463B5B">
        <w:t>HUD</w:t>
      </w:r>
      <w:r w:rsidR="006D78A5">
        <w:t xml:space="preserve"> </w:t>
      </w:r>
      <w:r w:rsidRPr="00463B5B">
        <w:t>may</w:t>
      </w:r>
      <w:r w:rsidR="006D78A5">
        <w:t xml:space="preserve"> </w:t>
      </w:r>
      <w:r w:rsidRPr="00463B5B">
        <w:t>terminate</w:t>
      </w:r>
      <w:r w:rsidR="006D78A5">
        <w:t xml:space="preserve"> </w:t>
      </w:r>
      <w:r w:rsidRPr="00463B5B">
        <w:t>the</w:t>
      </w:r>
      <w:r w:rsidR="006D78A5">
        <w:t xml:space="preserve"> </w:t>
      </w:r>
      <w:r w:rsidRPr="00463B5B">
        <w:t>renewal</w:t>
      </w:r>
      <w:r w:rsidR="006D78A5">
        <w:t xml:space="preserve"> </w:t>
      </w:r>
      <w:r w:rsidRPr="00463B5B">
        <w:t>of</w:t>
      </w:r>
      <w:r w:rsidR="006D78A5">
        <w:t xml:space="preserve"> </w:t>
      </w:r>
      <w:r w:rsidRPr="00463B5B">
        <w:t>any</w:t>
      </w:r>
      <w:r w:rsidR="006D78A5">
        <w:t xml:space="preserve"> </w:t>
      </w:r>
      <w:r w:rsidRPr="00463B5B">
        <w:t>grant</w:t>
      </w:r>
      <w:r w:rsidR="006D78A5">
        <w:t xml:space="preserve"> </w:t>
      </w:r>
      <w:r w:rsidRPr="00463B5B">
        <w:t>and</w:t>
      </w:r>
      <w:r w:rsidR="006D78A5">
        <w:t xml:space="preserve"> </w:t>
      </w:r>
      <w:r w:rsidRPr="00463B5B">
        <w:t>require</w:t>
      </w:r>
      <w:r w:rsidR="006D78A5">
        <w:t xml:space="preserve"> </w:t>
      </w:r>
      <w:r w:rsidRPr="00463B5B">
        <w:t>repayment</w:t>
      </w:r>
      <w:r w:rsidR="006D78A5">
        <w:t xml:space="preserve"> </w:t>
      </w:r>
      <w:r w:rsidRPr="00463B5B">
        <w:t>if</w:t>
      </w:r>
      <w:r w:rsidR="006D78A5">
        <w:t xml:space="preserve"> </w:t>
      </w:r>
      <w:r w:rsidRPr="00463B5B">
        <w:t>the</w:t>
      </w:r>
      <w:r w:rsidR="006D78A5">
        <w:t xml:space="preserve"> </w:t>
      </w:r>
      <w:r w:rsidRPr="00463B5B">
        <w:t>APR</w:t>
      </w:r>
      <w:r w:rsidR="006D78A5">
        <w:t xml:space="preserve"> </w:t>
      </w:r>
      <w:r w:rsidRPr="00463B5B">
        <w:t>is</w:t>
      </w:r>
      <w:r w:rsidR="006D78A5">
        <w:t xml:space="preserve"> </w:t>
      </w:r>
      <w:r w:rsidRPr="00463B5B">
        <w:t>not</w:t>
      </w:r>
      <w:r w:rsidR="006D78A5">
        <w:t xml:space="preserve"> </w:t>
      </w:r>
      <w:r w:rsidRPr="00463B5B">
        <w:t>filed</w:t>
      </w:r>
      <w:r w:rsidR="006D78A5">
        <w:t xml:space="preserve"> </w:t>
      </w:r>
      <w:r w:rsidRPr="00463B5B">
        <w:t>on</w:t>
      </w:r>
      <w:r w:rsidR="006D78A5">
        <w:t xml:space="preserve"> </w:t>
      </w:r>
      <w:r w:rsidRPr="00463B5B">
        <w:t>time</w:t>
      </w:r>
      <w:r w:rsidR="006D78A5">
        <w:t xml:space="preserve"> </w:t>
      </w:r>
      <w:r w:rsidRPr="00463B5B">
        <w:t>or</w:t>
      </w:r>
      <w:r w:rsidR="006D78A5">
        <w:t xml:space="preserve"> </w:t>
      </w:r>
      <w:r w:rsidRPr="00463B5B">
        <w:t>if</w:t>
      </w:r>
      <w:r w:rsidR="006D78A5">
        <w:t xml:space="preserve"> </w:t>
      </w:r>
      <w:r w:rsidRPr="00463B5B">
        <w:t>HUD</w:t>
      </w:r>
      <w:r w:rsidR="006D78A5">
        <w:t xml:space="preserve"> </w:t>
      </w:r>
      <w:r w:rsidRPr="00463B5B">
        <w:t>deems</w:t>
      </w:r>
      <w:r w:rsidR="006D78A5">
        <w:t xml:space="preserve"> </w:t>
      </w:r>
      <w:r w:rsidRPr="00463B5B">
        <w:t>the</w:t>
      </w:r>
      <w:r w:rsidR="006D78A5">
        <w:t xml:space="preserve"> </w:t>
      </w:r>
      <w:r w:rsidRPr="00463B5B">
        <w:t>APR</w:t>
      </w:r>
      <w:r w:rsidR="006D78A5">
        <w:t xml:space="preserve"> </w:t>
      </w:r>
      <w:r w:rsidRPr="00463B5B">
        <w:t>unacceptable</w:t>
      </w:r>
      <w:r w:rsidR="006D78A5">
        <w:t xml:space="preserve"> </w:t>
      </w:r>
      <w:r w:rsidRPr="00463B5B">
        <w:t>or</w:t>
      </w:r>
      <w:r w:rsidR="006D78A5">
        <w:t xml:space="preserve"> </w:t>
      </w:r>
      <w:r w:rsidRPr="00463B5B">
        <w:t>showing</w:t>
      </w:r>
      <w:r w:rsidR="006D78A5">
        <w:t xml:space="preserve"> </w:t>
      </w:r>
      <w:r w:rsidRPr="00463B5B">
        <w:t>noncompliance</w:t>
      </w:r>
      <w:r w:rsidR="006D78A5">
        <w:t xml:space="preserve"> </w:t>
      </w:r>
      <w:r w:rsidRPr="00463B5B">
        <w:t>with</w:t>
      </w:r>
      <w:r w:rsidR="006D78A5">
        <w:t xml:space="preserve"> </w:t>
      </w:r>
      <w:r w:rsidRPr="00463B5B">
        <w:t>grant</w:t>
      </w:r>
      <w:r w:rsidR="006D78A5">
        <w:t xml:space="preserve"> </w:t>
      </w:r>
      <w:r w:rsidRPr="00463B5B">
        <w:t>requirements</w:t>
      </w:r>
      <w:r w:rsidR="006D78A5">
        <w:t>.</w:t>
      </w:r>
    </w:p>
    <w:p w14:paraId="6C180728" w14:textId="77777777" w:rsidR="006D78A5" w:rsidRDefault="00463B5B" w:rsidP="005E12BA">
      <w:pPr>
        <w:pStyle w:val="ListParagraph"/>
        <w:numPr>
          <w:ilvl w:val="0"/>
          <w:numId w:val="35"/>
        </w:numPr>
        <w:tabs>
          <w:tab w:val="left" w:pos="2790"/>
        </w:tabs>
      </w:pPr>
      <w:r w:rsidRPr="00463B5B">
        <w:t>Record-keeping:</w:t>
      </w:r>
      <w:r w:rsidR="006D78A5">
        <w:t xml:space="preserve"> </w:t>
      </w:r>
      <w:r w:rsidRPr="00463B5B">
        <w:t>Recipients</w:t>
      </w:r>
      <w:r w:rsidR="006D78A5">
        <w:t xml:space="preserve"> </w:t>
      </w:r>
      <w:r w:rsidRPr="00463B5B">
        <w:t>must</w:t>
      </w:r>
      <w:r w:rsidR="006D78A5">
        <w:t xml:space="preserve"> </w:t>
      </w:r>
      <w:r w:rsidRPr="00463B5B">
        <w:t>maintain</w:t>
      </w:r>
      <w:r w:rsidR="006D78A5">
        <w:t xml:space="preserve"> </w:t>
      </w:r>
      <w:r w:rsidRPr="00463B5B">
        <w:t>records</w:t>
      </w:r>
      <w:r w:rsidR="006D78A5">
        <w:t xml:space="preserve"> </w:t>
      </w:r>
      <w:r w:rsidRPr="00463B5B">
        <w:t>and</w:t>
      </w:r>
      <w:r w:rsidR="006D78A5">
        <w:t xml:space="preserve"> </w:t>
      </w:r>
      <w:r w:rsidRPr="00463B5B">
        <w:t>within</w:t>
      </w:r>
      <w:r w:rsidR="006D78A5">
        <w:t xml:space="preserve"> </w:t>
      </w:r>
      <w:r w:rsidRPr="00463B5B">
        <w:t>the</w:t>
      </w:r>
      <w:r w:rsidR="006D78A5">
        <w:t xml:space="preserve"> </w:t>
      </w:r>
      <w:r w:rsidRPr="00463B5B">
        <w:t>timeframe</w:t>
      </w:r>
      <w:r w:rsidR="006D78A5">
        <w:t xml:space="preserve"> </w:t>
      </w:r>
      <w:r w:rsidRPr="00463B5B">
        <w:t>required,</w:t>
      </w:r>
      <w:r w:rsidR="006D78A5">
        <w:t xml:space="preserve"> </w:t>
      </w:r>
      <w:r w:rsidRPr="00463B5B">
        <w:t>make</w:t>
      </w:r>
      <w:r w:rsidR="006D78A5">
        <w:t xml:space="preserve"> </w:t>
      </w:r>
      <w:r w:rsidRPr="00463B5B">
        <w:t>any</w:t>
      </w:r>
      <w:r w:rsidR="006D78A5">
        <w:t xml:space="preserve"> </w:t>
      </w:r>
      <w:r w:rsidRPr="00463B5B">
        <w:t>reports,</w:t>
      </w:r>
      <w:r w:rsidR="006D78A5">
        <w:t xml:space="preserve"> </w:t>
      </w:r>
      <w:r w:rsidRPr="00463B5B">
        <w:t>including</w:t>
      </w:r>
      <w:r w:rsidR="006D78A5">
        <w:t xml:space="preserve"> </w:t>
      </w:r>
      <w:r w:rsidRPr="00463B5B">
        <w:t>those</w:t>
      </w:r>
      <w:r w:rsidR="006D78A5">
        <w:t xml:space="preserve"> </w:t>
      </w:r>
      <w:r w:rsidRPr="00463B5B">
        <w:t>pertaining</w:t>
      </w:r>
      <w:r w:rsidR="006D78A5">
        <w:t xml:space="preserve"> </w:t>
      </w:r>
      <w:r w:rsidRPr="00463B5B">
        <w:t>to</w:t>
      </w:r>
      <w:r w:rsidR="006D78A5">
        <w:t xml:space="preserve"> </w:t>
      </w:r>
      <w:r w:rsidRPr="00463B5B">
        <w:t>race,</w:t>
      </w:r>
      <w:r w:rsidR="006D78A5">
        <w:t xml:space="preserve"> </w:t>
      </w:r>
      <w:r w:rsidRPr="00463B5B">
        <w:t>ethnicity,</w:t>
      </w:r>
      <w:r w:rsidR="006D78A5">
        <w:t xml:space="preserve"> </w:t>
      </w:r>
      <w:r w:rsidRPr="00463B5B">
        <w:t>gender,</w:t>
      </w:r>
      <w:r w:rsidR="006D78A5">
        <w:t xml:space="preserve"> </w:t>
      </w:r>
      <w:r w:rsidRPr="00463B5B">
        <w:t>and</w:t>
      </w:r>
      <w:r w:rsidR="006D78A5">
        <w:t xml:space="preserve"> </w:t>
      </w:r>
      <w:r w:rsidRPr="00463B5B">
        <w:t>disability</w:t>
      </w:r>
      <w:r w:rsidR="006D78A5">
        <w:t xml:space="preserve"> </w:t>
      </w:r>
      <w:r w:rsidRPr="00463B5B">
        <w:t>status</w:t>
      </w:r>
      <w:r w:rsidR="006D78A5">
        <w:t xml:space="preserve"> </w:t>
      </w:r>
      <w:r w:rsidRPr="00463B5B">
        <w:t>that</w:t>
      </w:r>
      <w:r w:rsidR="006D78A5">
        <w:t xml:space="preserve"> </w:t>
      </w:r>
      <w:r w:rsidRPr="00463B5B">
        <w:t>HUD</w:t>
      </w:r>
      <w:r w:rsidR="006D78A5">
        <w:t xml:space="preserve"> </w:t>
      </w:r>
      <w:r w:rsidRPr="00463B5B">
        <w:t>may</w:t>
      </w:r>
      <w:r w:rsidR="006D78A5">
        <w:t xml:space="preserve"> </w:t>
      </w:r>
      <w:r w:rsidRPr="00463B5B">
        <w:t>require.</w:t>
      </w:r>
      <w:r w:rsidR="006D78A5">
        <w:t xml:space="preserve"> </w:t>
      </w:r>
      <w:r w:rsidRPr="00463B5B">
        <w:t>CoC</w:t>
      </w:r>
      <w:r w:rsidR="006D78A5">
        <w:t xml:space="preserve"> </w:t>
      </w:r>
      <w:r w:rsidRPr="00463B5B">
        <w:t>applicants</w:t>
      </w:r>
      <w:r w:rsidR="006D78A5">
        <w:t xml:space="preserve"> </w:t>
      </w:r>
      <w:r w:rsidRPr="00463B5B">
        <w:t>may</w:t>
      </w:r>
      <w:r w:rsidR="006D78A5">
        <w:t xml:space="preserve"> </w:t>
      </w:r>
      <w:r w:rsidRPr="00463B5B">
        <w:t>report</w:t>
      </w:r>
      <w:r w:rsidR="006D78A5">
        <w:t xml:space="preserve"> </w:t>
      </w:r>
      <w:r w:rsidRPr="00463B5B">
        <w:t>this</w:t>
      </w:r>
      <w:r w:rsidR="006D78A5">
        <w:t xml:space="preserve"> </w:t>
      </w:r>
      <w:r w:rsidRPr="00463B5B">
        <w:t>data</w:t>
      </w:r>
      <w:r w:rsidR="006D78A5">
        <w:t xml:space="preserve"> </w:t>
      </w:r>
      <w:r w:rsidRPr="00463B5B">
        <w:t>as</w:t>
      </w:r>
      <w:r w:rsidR="006D78A5">
        <w:t xml:space="preserve"> </w:t>
      </w:r>
      <w:r w:rsidRPr="00463B5B">
        <w:t>part</w:t>
      </w:r>
      <w:r w:rsidR="006D78A5">
        <w:t xml:space="preserve"> </w:t>
      </w:r>
      <w:r w:rsidRPr="00463B5B">
        <w:t>of</w:t>
      </w:r>
      <w:r w:rsidR="006D78A5">
        <w:t xml:space="preserve"> </w:t>
      </w:r>
      <w:r w:rsidRPr="00463B5B">
        <w:t>their</w:t>
      </w:r>
      <w:r w:rsidR="006D78A5">
        <w:t xml:space="preserve"> </w:t>
      </w:r>
      <w:r w:rsidRPr="00463B5B">
        <w:t>APR</w:t>
      </w:r>
      <w:r w:rsidR="006D78A5">
        <w:t xml:space="preserve"> </w:t>
      </w:r>
      <w:r w:rsidRPr="00463B5B">
        <w:t>submission</w:t>
      </w:r>
      <w:r w:rsidR="006D78A5">
        <w:t xml:space="preserve"> </w:t>
      </w:r>
      <w:r w:rsidRPr="00463B5B">
        <w:t>to</w:t>
      </w:r>
      <w:r w:rsidR="006D78A5">
        <w:t xml:space="preserve"> </w:t>
      </w:r>
      <w:r w:rsidRPr="00463B5B">
        <w:t>HUD.</w:t>
      </w:r>
      <w:r w:rsidR="006D78A5">
        <w:t xml:space="preserve"> </w:t>
      </w:r>
    </w:p>
    <w:p w14:paraId="70D77101" w14:textId="77777777" w:rsidR="00DA363A" w:rsidRDefault="00463B5B" w:rsidP="005E12BA">
      <w:pPr>
        <w:pStyle w:val="ListParagraph"/>
        <w:numPr>
          <w:ilvl w:val="0"/>
          <w:numId w:val="35"/>
        </w:numPr>
        <w:tabs>
          <w:tab w:val="left" w:pos="2790"/>
        </w:tabs>
      </w:pPr>
      <w:r w:rsidRPr="00463B5B">
        <w:t>Transparency</w:t>
      </w:r>
      <w:r w:rsidR="006D78A5">
        <w:t xml:space="preserve"> </w:t>
      </w:r>
      <w:r w:rsidRPr="00463B5B">
        <w:t>Act:</w:t>
      </w:r>
      <w:r w:rsidR="006D78A5">
        <w:t xml:space="preserve"> </w:t>
      </w:r>
      <w:r w:rsidRPr="00463B5B">
        <w:t>Award</w:t>
      </w:r>
      <w:r w:rsidR="006D78A5">
        <w:t xml:space="preserve"> </w:t>
      </w:r>
      <w:r w:rsidRPr="00463B5B">
        <w:t>notices</w:t>
      </w:r>
      <w:r w:rsidR="006D78A5">
        <w:t xml:space="preserve"> </w:t>
      </w:r>
      <w:r w:rsidRPr="00463B5B">
        <w:t>may</w:t>
      </w:r>
      <w:r w:rsidR="006D78A5">
        <w:t xml:space="preserve"> </w:t>
      </w:r>
      <w:r w:rsidRPr="00463B5B">
        <w:t>also</w:t>
      </w:r>
      <w:r w:rsidR="006D78A5">
        <w:t xml:space="preserve"> </w:t>
      </w:r>
      <w:r w:rsidRPr="00463B5B">
        <w:t>include</w:t>
      </w:r>
      <w:r w:rsidR="006D78A5">
        <w:t xml:space="preserve"> </w:t>
      </w:r>
      <w:r w:rsidRPr="00463B5B">
        <w:t>requirements</w:t>
      </w:r>
      <w:r w:rsidR="006D78A5">
        <w:t xml:space="preserve"> </w:t>
      </w:r>
      <w:r w:rsidRPr="00463B5B">
        <w:t>for</w:t>
      </w:r>
      <w:r w:rsidR="006D78A5">
        <w:t xml:space="preserve"> </w:t>
      </w:r>
      <w:r w:rsidRPr="00463B5B">
        <w:t>subaward</w:t>
      </w:r>
      <w:r w:rsidR="006D78A5">
        <w:t xml:space="preserve"> </w:t>
      </w:r>
      <w:r w:rsidRPr="00463B5B">
        <w:t>reporting</w:t>
      </w:r>
      <w:r w:rsidR="006D78A5">
        <w:t xml:space="preserve"> </w:t>
      </w:r>
      <w:r w:rsidRPr="00463B5B">
        <w:t>in</w:t>
      </w:r>
      <w:r w:rsidR="006D78A5">
        <w:t xml:space="preserve"> </w:t>
      </w:r>
      <w:r w:rsidRPr="00463B5B">
        <w:t>compliance</w:t>
      </w:r>
      <w:r w:rsidR="006D78A5">
        <w:t xml:space="preserve"> </w:t>
      </w:r>
      <w:r w:rsidRPr="00463B5B">
        <w:t>with</w:t>
      </w:r>
      <w:r w:rsidR="006D78A5">
        <w:t xml:space="preserve"> </w:t>
      </w:r>
      <w:r w:rsidRPr="00463B5B">
        <w:t>the</w:t>
      </w:r>
      <w:r w:rsidR="006D78A5">
        <w:t xml:space="preserve"> </w:t>
      </w:r>
      <w:r w:rsidRPr="00463B5B">
        <w:t>requirements</w:t>
      </w:r>
      <w:r w:rsidR="006D78A5">
        <w:t xml:space="preserve"> </w:t>
      </w:r>
      <w:r w:rsidRPr="00463B5B">
        <w:t>of</w:t>
      </w:r>
      <w:r w:rsidR="006D78A5">
        <w:t xml:space="preserve"> </w:t>
      </w:r>
      <w:r w:rsidRPr="00463B5B">
        <w:t>the</w:t>
      </w:r>
      <w:r w:rsidR="006D78A5">
        <w:t xml:space="preserve"> </w:t>
      </w:r>
      <w:r w:rsidRPr="00463B5B">
        <w:t>Federal</w:t>
      </w:r>
      <w:r w:rsidR="006D78A5">
        <w:t xml:space="preserve"> </w:t>
      </w:r>
      <w:r w:rsidRPr="00463B5B">
        <w:t>Financial</w:t>
      </w:r>
      <w:r w:rsidR="006D78A5">
        <w:t xml:space="preserve"> </w:t>
      </w:r>
      <w:r w:rsidRPr="00463B5B">
        <w:t>Assistance</w:t>
      </w:r>
      <w:r w:rsidR="006D78A5">
        <w:t xml:space="preserve"> </w:t>
      </w:r>
      <w:r w:rsidRPr="00463B5B">
        <w:t>Accountability</w:t>
      </w:r>
      <w:r w:rsidR="006D78A5">
        <w:t xml:space="preserve"> </w:t>
      </w:r>
      <w:r w:rsidRPr="00463B5B">
        <w:t>and</w:t>
      </w:r>
      <w:r w:rsidR="006D78A5">
        <w:t xml:space="preserve"> </w:t>
      </w:r>
      <w:r w:rsidRPr="00463B5B">
        <w:t>Transparency</w:t>
      </w:r>
      <w:r w:rsidR="006D78A5">
        <w:t xml:space="preserve"> </w:t>
      </w:r>
      <w:r w:rsidRPr="00463B5B">
        <w:t>Act</w:t>
      </w:r>
      <w:r w:rsidR="006D78A5">
        <w:t xml:space="preserve"> </w:t>
      </w:r>
      <w:r w:rsidRPr="00463B5B">
        <w:t>of</w:t>
      </w:r>
      <w:r w:rsidR="006D78A5">
        <w:t xml:space="preserve"> </w:t>
      </w:r>
      <w:r w:rsidRPr="00463B5B">
        <w:t>2006</w:t>
      </w:r>
      <w:r w:rsidR="006D78A5">
        <w:t xml:space="preserve"> </w:t>
      </w:r>
      <w:r w:rsidRPr="00463B5B">
        <w:t>(Pub.</w:t>
      </w:r>
      <w:r w:rsidR="006D78A5">
        <w:t xml:space="preserve"> </w:t>
      </w:r>
      <w:r w:rsidRPr="00463B5B">
        <w:t>L.</w:t>
      </w:r>
      <w:r w:rsidR="006D78A5">
        <w:t xml:space="preserve"> </w:t>
      </w:r>
      <w:r w:rsidRPr="00463B5B">
        <w:t>109-282)</w:t>
      </w:r>
      <w:r w:rsidR="006D78A5">
        <w:t xml:space="preserve"> </w:t>
      </w:r>
      <w:r w:rsidRPr="00463B5B">
        <w:t>(Transparency</w:t>
      </w:r>
      <w:r w:rsidR="006D78A5">
        <w:t xml:space="preserve"> </w:t>
      </w:r>
      <w:r w:rsidRPr="00463B5B">
        <w:t>Act)</w:t>
      </w:r>
      <w:r w:rsidR="006D78A5">
        <w:t xml:space="preserve"> </w:t>
      </w:r>
      <w:r w:rsidRPr="00463B5B">
        <w:t>and</w:t>
      </w:r>
      <w:r w:rsidR="006D78A5">
        <w:t xml:space="preserve"> </w:t>
      </w:r>
      <w:r w:rsidRPr="00463B5B">
        <w:t>Section</w:t>
      </w:r>
      <w:r w:rsidR="006D78A5">
        <w:t xml:space="preserve"> </w:t>
      </w:r>
      <w:r w:rsidRPr="00463B5B">
        <w:t>872</w:t>
      </w:r>
      <w:r w:rsidR="006D78A5">
        <w:t xml:space="preserve"> </w:t>
      </w:r>
      <w:r w:rsidRPr="00463B5B">
        <w:t>of</w:t>
      </w:r>
      <w:r w:rsidR="006D78A5">
        <w:t xml:space="preserve"> </w:t>
      </w:r>
      <w:r w:rsidRPr="00463B5B">
        <w:t>the</w:t>
      </w:r>
      <w:r w:rsidR="006D78A5">
        <w:t xml:space="preserve"> </w:t>
      </w:r>
      <w:r w:rsidRPr="00463B5B">
        <w:t>Duncan</w:t>
      </w:r>
      <w:r w:rsidR="006D78A5">
        <w:t xml:space="preserve"> </w:t>
      </w:r>
      <w:r w:rsidRPr="00463B5B">
        <w:t>Hunter</w:t>
      </w:r>
      <w:r w:rsidR="00DA363A">
        <w:t xml:space="preserve"> </w:t>
      </w:r>
      <w:r w:rsidRPr="00463B5B">
        <w:t>National</w:t>
      </w:r>
      <w:r w:rsidR="00DA363A">
        <w:t xml:space="preserve"> </w:t>
      </w:r>
      <w:r w:rsidRPr="00463B5B">
        <w:t>Defense</w:t>
      </w:r>
      <w:r w:rsidR="00DA363A">
        <w:t xml:space="preserve"> </w:t>
      </w:r>
      <w:r w:rsidRPr="00463B5B">
        <w:t>Authorization</w:t>
      </w:r>
      <w:r w:rsidR="00DA363A">
        <w:t xml:space="preserve"> </w:t>
      </w:r>
      <w:r w:rsidRPr="00463B5B">
        <w:t>Act</w:t>
      </w:r>
      <w:r w:rsidR="00DA363A">
        <w:t xml:space="preserve"> </w:t>
      </w:r>
      <w:r w:rsidRPr="00463B5B">
        <w:t>for</w:t>
      </w:r>
      <w:r w:rsidR="00DA363A">
        <w:t xml:space="preserve"> </w:t>
      </w:r>
      <w:r w:rsidRPr="00463B5B">
        <w:t>Fiscal</w:t>
      </w:r>
      <w:r w:rsidR="00DA363A">
        <w:t xml:space="preserve"> </w:t>
      </w:r>
      <w:r w:rsidRPr="00463B5B">
        <w:t>Year</w:t>
      </w:r>
      <w:r w:rsidR="00DA363A">
        <w:t xml:space="preserve"> </w:t>
      </w:r>
      <w:r w:rsidRPr="00463B5B">
        <w:t>2009</w:t>
      </w:r>
      <w:r w:rsidR="00DA363A">
        <w:t xml:space="preserve"> </w:t>
      </w:r>
      <w:r w:rsidRPr="00463B5B">
        <w:t>(Pub.</w:t>
      </w:r>
      <w:r w:rsidR="00DA363A">
        <w:t xml:space="preserve"> </w:t>
      </w:r>
      <w:r w:rsidRPr="00463B5B">
        <w:t>L.</w:t>
      </w:r>
      <w:r w:rsidR="00DA363A">
        <w:t xml:space="preserve"> </w:t>
      </w:r>
      <w:r w:rsidRPr="00463B5B">
        <w:t>110-417)</w:t>
      </w:r>
    </w:p>
    <w:p w14:paraId="14172DB9" w14:textId="77777777" w:rsidR="00DA363A" w:rsidRDefault="00463B5B" w:rsidP="005E12BA">
      <w:pPr>
        <w:pStyle w:val="ListParagraph"/>
        <w:numPr>
          <w:ilvl w:val="0"/>
          <w:numId w:val="35"/>
        </w:numPr>
        <w:tabs>
          <w:tab w:val="left" w:pos="2790"/>
        </w:tabs>
      </w:pPr>
      <w:r w:rsidRPr="00463B5B">
        <w:t>Impact/Success</w:t>
      </w:r>
      <w:r w:rsidR="00DA363A">
        <w:t xml:space="preserve"> </w:t>
      </w:r>
      <w:r w:rsidRPr="00463B5B">
        <w:t>Indicators:</w:t>
      </w:r>
      <w:r w:rsidR="00DA363A">
        <w:t xml:space="preserve"> </w:t>
      </w:r>
      <w:r w:rsidRPr="00463B5B">
        <w:t>All</w:t>
      </w:r>
      <w:r w:rsidR="00DA363A">
        <w:t xml:space="preserve"> </w:t>
      </w:r>
      <w:r w:rsidRPr="00463B5B">
        <w:t>projects,</w:t>
      </w:r>
      <w:r w:rsidR="00DA363A">
        <w:t xml:space="preserve"> </w:t>
      </w:r>
      <w:r w:rsidRPr="00463B5B">
        <w:t>except</w:t>
      </w:r>
      <w:r w:rsidR="00DA363A">
        <w:t xml:space="preserve"> </w:t>
      </w:r>
      <w:r w:rsidRPr="00463B5B">
        <w:t>for</w:t>
      </w:r>
      <w:r w:rsidR="00DA363A">
        <w:t xml:space="preserve"> </w:t>
      </w:r>
      <w:r w:rsidRPr="00463B5B">
        <w:t>HMIS,</w:t>
      </w:r>
      <w:r w:rsidR="00DA363A">
        <w:t xml:space="preserve"> </w:t>
      </w:r>
      <w:r w:rsidRPr="00463B5B">
        <w:t>must</w:t>
      </w:r>
      <w:r w:rsidR="00DA363A">
        <w:t xml:space="preserve"> </w:t>
      </w:r>
      <w:r w:rsidRPr="00463B5B">
        <w:t>provide</w:t>
      </w:r>
      <w:r w:rsidR="00DA363A">
        <w:t xml:space="preserve"> </w:t>
      </w:r>
      <w:r w:rsidRPr="00463B5B">
        <w:t>systematic</w:t>
      </w:r>
      <w:r w:rsidR="00DA363A">
        <w:t xml:space="preserve"> </w:t>
      </w:r>
      <w:r w:rsidRPr="00463B5B">
        <w:t>indicators</w:t>
      </w:r>
      <w:r w:rsidR="00DA363A">
        <w:t xml:space="preserve"> </w:t>
      </w:r>
      <w:r w:rsidRPr="00463B5B">
        <w:t>for</w:t>
      </w:r>
      <w:r w:rsidR="00DA363A">
        <w:t xml:space="preserve"> </w:t>
      </w:r>
      <w:r w:rsidRPr="00463B5B">
        <w:t>evaluating</w:t>
      </w:r>
      <w:r w:rsidR="00DA363A">
        <w:t xml:space="preserve"> </w:t>
      </w:r>
      <w:r w:rsidRPr="00463B5B">
        <w:t>the</w:t>
      </w:r>
      <w:r w:rsidR="00DA363A">
        <w:t xml:space="preserve"> </w:t>
      </w:r>
      <w:r w:rsidRPr="00463B5B">
        <w:t>positive</w:t>
      </w:r>
      <w:r w:rsidR="00DA363A">
        <w:t xml:space="preserve"> </w:t>
      </w:r>
      <w:r w:rsidRPr="00463B5B">
        <w:t>impact/success</w:t>
      </w:r>
      <w:r w:rsidR="00DA363A">
        <w:t xml:space="preserve"> </w:t>
      </w:r>
      <w:r w:rsidRPr="00463B5B">
        <w:t>the</w:t>
      </w:r>
      <w:r w:rsidR="00DA363A">
        <w:t xml:space="preserve"> </w:t>
      </w:r>
      <w:r w:rsidRPr="00463B5B">
        <w:t>project</w:t>
      </w:r>
      <w:r w:rsidR="00DA363A">
        <w:t xml:space="preserve"> </w:t>
      </w:r>
      <w:r w:rsidRPr="00463B5B">
        <w:t>will</w:t>
      </w:r>
      <w:r w:rsidR="00DA363A">
        <w:t xml:space="preserve"> </w:t>
      </w:r>
      <w:r w:rsidRPr="00463B5B">
        <w:t>have</w:t>
      </w:r>
      <w:r w:rsidR="00DA363A">
        <w:t xml:space="preserve"> </w:t>
      </w:r>
      <w:r w:rsidRPr="00463B5B">
        <w:t>on</w:t>
      </w:r>
      <w:r w:rsidR="00DA363A">
        <w:t xml:space="preserve"> </w:t>
      </w:r>
      <w:r w:rsidRPr="00463B5B">
        <w:t>clients</w:t>
      </w:r>
      <w:r w:rsidR="00DA363A">
        <w:t xml:space="preserve"> </w:t>
      </w:r>
      <w:r w:rsidRPr="00463B5B">
        <w:t>and</w:t>
      </w:r>
      <w:r w:rsidR="00DA363A">
        <w:t xml:space="preserve"> </w:t>
      </w:r>
      <w:r w:rsidRPr="00463B5B">
        <w:t>reducing</w:t>
      </w:r>
      <w:r w:rsidR="00DA363A">
        <w:t xml:space="preserve"> </w:t>
      </w:r>
      <w:r w:rsidRPr="00463B5B">
        <w:t>homelessness</w:t>
      </w:r>
      <w:r w:rsidR="00DA363A">
        <w:t xml:space="preserve"> </w:t>
      </w:r>
      <w:r w:rsidRPr="00463B5B">
        <w:t>in</w:t>
      </w:r>
      <w:r w:rsidR="00DA363A">
        <w:t xml:space="preserve"> </w:t>
      </w:r>
      <w:r w:rsidRPr="00463B5B">
        <w:t>the</w:t>
      </w:r>
      <w:r w:rsidR="00DA363A">
        <w:t xml:space="preserve"> </w:t>
      </w:r>
      <w:r w:rsidRPr="00463B5B">
        <w:t>community.</w:t>
      </w:r>
      <w:r w:rsidR="00DA363A">
        <w:t xml:space="preserve"> </w:t>
      </w:r>
      <w:r w:rsidRPr="00463B5B">
        <w:t>HUD</w:t>
      </w:r>
      <w:r w:rsidR="00DA363A">
        <w:t xml:space="preserve"> </w:t>
      </w:r>
      <w:r w:rsidRPr="00463B5B">
        <w:t>will</w:t>
      </w:r>
      <w:r w:rsidR="00DA363A">
        <w:t xml:space="preserve"> </w:t>
      </w:r>
      <w:r w:rsidRPr="00463B5B">
        <w:t>require</w:t>
      </w:r>
      <w:r w:rsidR="00DA363A">
        <w:t xml:space="preserve"> </w:t>
      </w:r>
      <w:r w:rsidRPr="00463B5B">
        <w:t>projects</w:t>
      </w:r>
      <w:r w:rsidR="00DA363A">
        <w:t xml:space="preserve"> </w:t>
      </w:r>
      <w:r w:rsidRPr="00463B5B">
        <w:t>to</w:t>
      </w:r>
      <w:r w:rsidR="00DA363A">
        <w:t xml:space="preserve"> </w:t>
      </w:r>
      <w:r w:rsidRPr="00463B5B">
        <w:t>include</w:t>
      </w:r>
      <w:r w:rsidR="00DA363A">
        <w:t xml:space="preserve"> </w:t>
      </w:r>
      <w:r w:rsidRPr="00463B5B">
        <w:t>measures</w:t>
      </w:r>
      <w:r w:rsidR="00DA363A">
        <w:t xml:space="preserve"> </w:t>
      </w:r>
      <w:r w:rsidRPr="00463B5B">
        <w:t>for:</w:t>
      </w:r>
      <w:r w:rsidR="00DA363A">
        <w:t xml:space="preserve"> </w:t>
      </w:r>
      <w:r w:rsidRPr="00463B5B">
        <w:t>length</w:t>
      </w:r>
      <w:r w:rsidR="00DA363A">
        <w:t xml:space="preserve"> </w:t>
      </w:r>
      <w:r w:rsidRPr="00463B5B">
        <w:t>of</w:t>
      </w:r>
      <w:r w:rsidR="00DA363A">
        <w:t xml:space="preserve"> </w:t>
      </w:r>
      <w:r w:rsidRPr="00463B5B">
        <w:t>time</w:t>
      </w:r>
      <w:r w:rsidR="00DA363A">
        <w:t xml:space="preserve"> </w:t>
      </w:r>
      <w:r w:rsidRPr="00463B5B">
        <w:t>in</w:t>
      </w:r>
      <w:r w:rsidR="00DA363A">
        <w:t xml:space="preserve"> </w:t>
      </w:r>
      <w:r w:rsidRPr="00463B5B">
        <w:t>the</w:t>
      </w:r>
      <w:r w:rsidR="00DA363A">
        <w:t xml:space="preserve"> </w:t>
      </w:r>
      <w:r w:rsidRPr="00463B5B">
        <w:t>project;</w:t>
      </w:r>
      <w:r w:rsidR="00DA363A">
        <w:t xml:space="preserve"> </w:t>
      </w:r>
      <w:r w:rsidRPr="00463B5B">
        <w:t>recidivism;</w:t>
      </w:r>
      <w:r w:rsidR="00DA363A">
        <w:t xml:space="preserve"> </w:t>
      </w:r>
      <w:r w:rsidRPr="00463B5B">
        <w:t>movement</w:t>
      </w:r>
      <w:r w:rsidR="00DA363A">
        <w:t xml:space="preserve"> </w:t>
      </w:r>
      <w:r w:rsidRPr="00463B5B">
        <w:t>to</w:t>
      </w:r>
      <w:r w:rsidR="00DA363A">
        <w:t xml:space="preserve"> </w:t>
      </w:r>
      <w:r w:rsidRPr="00463B5B">
        <w:t>and</w:t>
      </w:r>
      <w:r w:rsidR="00DA363A">
        <w:t xml:space="preserve"> </w:t>
      </w:r>
      <w:r w:rsidRPr="00463B5B">
        <w:t>stability</w:t>
      </w:r>
      <w:r w:rsidR="00DA363A">
        <w:t xml:space="preserve"> </w:t>
      </w:r>
      <w:r w:rsidRPr="00463B5B">
        <w:t>in</w:t>
      </w:r>
      <w:r w:rsidR="00DA363A">
        <w:t xml:space="preserve"> </w:t>
      </w:r>
      <w:r w:rsidRPr="00463B5B">
        <w:t>permanent</w:t>
      </w:r>
      <w:r w:rsidR="00DA363A">
        <w:t xml:space="preserve"> </w:t>
      </w:r>
      <w:r w:rsidRPr="00463B5B">
        <w:t>housing;</w:t>
      </w:r>
      <w:r w:rsidR="00DA363A">
        <w:t xml:space="preserve"> </w:t>
      </w:r>
      <w:r w:rsidRPr="00463B5B">
        <w:t>connection</w:t>
      </w:r>
      <w:r w:rsidR="00DA363A">
        <w:t xml:space="preserve"> </w:t>
      </w:r>
      <w:r w:rsidRPr="00463B5B">
        <w:t>with</w:t>
      </w:r>
      <w:r w:rsidR="00DA363A">
        <w:t xml:space="preserve"> </w:t>
      </w:r>
      <w:r w:rsidRPr="00463B5B">
        <w:t>mainstream</w:t>
      </w:r>
      <w:r w:rsidR="00DA363A">
        <w:t xml:space="preserve"> </w:t>
      </w:r>
      <w:r w:rsidRPr="00463B5B">
        <w:t>benefits;</w:t>
      </w:r>
      <w:r w:rsidR="00DA363A">
        <w:t xml:space="preserve"> </w:t>
      </w:r>
      <w:r w:rsidRPr="00463B5B">
        <w:t>and</w:t>
      </w:r>
      <w:r w:rsidR="00DA363A">
        <w:t xml:space="preserve"> </w:t>
      </w:r>
      <w:r w:rsidRPr="00463B5B">
        <w:t>job</w:t>
      </w:r>
      <w:r w:rsidR="00DA363A">
        <w:t xml:space="preserve"> </w:t>
      </w:r>
      <w:r w:rsidRPr="00463B5B">
        <w:t>and</w:t>
      </w:r>
      <w:r w:rsidR="00DA363A">
        <w:t xml:space="preserve"> </w:t>
      </w:r>
      <w:r w:rsidRPr="00463B5B">
        <w:t>income</w:t>
      </w:r>
      <w:r w:rsidR="00DA363A">
        <w:t xml:space="preserve"> </w:t>
      </w:r>
      <w:r w:rsidRPr="00463B5B">
        <w:t>growth</w:t>
      </w:r>
      <w:r w:rsidR="00DA363A">
        <w:t xml:space="preserve"> </w:t>
      </w:r>
      <w:r w:rsidRPr="00463B5B">
        <w:t>for</w:t>
      </w:r>
      <w:r w:rsidR="00DA363A">
        <w:t xml:space="preserve"> </w:t>
      </w:r>
      <w:r w:rsidRPr="00463B5B">
        <w:t>persons</w:t>
      </w:r>
      <w:r w:rsidR="00DA363A">
        <w:t xml:space="preserve"> </w:t>
      </w:r>
      <w:r w:rsidRPr="00463B5B">
        <w:t>who</w:t>
      </w:r>
      <w:r w:rsidR="00DA363A">
        <w:t xml:space="preserve"> </w:t>
      </w:r>
      <w:r w:rsidRPr="00463B5B">
        <w:t>are</w:t>
      </w:r>
      <w:r w:rsidR="00DA363A">
        <w:t xml:space="preserve"> </w:t>
      </w:r>
      <w:r w:rsidRPr="00463B5B">
        <w:t>homeless.</w:t>
      </w:r>
      <w:r w:rsidR="00DA363A">
        <w:t xml:space="preserve"> </w:t>
      </w:r>
      <w:r w:rsidRPr="00463B5B">
        <w:t>Projects</w:t>
      </w:r>
      <w:r w:rsidR="00DA363A">
        <w:t xml:space="preserve"> </w:t>
      </w:r>
      <w:r w:rsidRPr="00463B5B">
        <w:t>may</w:t>
      </w:r>
      <w:r w:rsidR="00DA363A">
        <w:t xml:space="preserve"> </w:t>
      </w:r>
      <w:r w:rsidRPr="00463B5B">
        <w:t>also</w:t>
      </w:r>
      <w:r w:rsidR="00DA363A">
        <w:t xml:space="preserve"> </w:t>
      </w:r>
      <w:r w:rsidRPr="00463B5B">
        <w:t>indicate</w:t>
      </w:r>
      <w:r w:rsidR="00DA363A">
        <w:t xml:space="preserve"> </w:t>
      </w:r>
      <w:r w:rsidRPr="00463B5B">
        <w:t>additional</w:t>
      </w:r>
      <w:r w:rsidR="00DA363A">
        <w:t xml:space="preserve"> </w:t>
      </w:r>
      <w:r w:rsidRPr="00463B5B">
        <w:t>measures</w:t>
      </w:r>
      <w:r w:rsidR="00DA363A">
        <w:t xml:space="preserve"> </w:t>
      </w:r>
      <w:r w:rsidRPr="00463B5B">
        <w:t>on</w:t>
      </w:r>
      <w:r w:rsidR="00DA363A">
        <w:t xml:space="preserve"> </w:t>
      </w:r>
      <w:r w:rsidRPr="00463B5B">
        <w:t>which</w:t>
      </w:r>
      <w:r w:rsidR="00DA363A">
        <w:t xml:space="preserve"> </w:t>
      </w:r>
      <w:r w:rsidRPr="00463B5B">
        <w:t>the</w:t>
      </w:r>
      <w:r w:rsidR="00DA363A">
        <w:t xml:space="preserve"> </w:t>
      </w:r>
      <w:r w:rsidRPr="00463B5B">
        <w:t>project</w:t>
      </w:r>
      <w:r w:rsidR="00DA363A">
        <w:t xml:space="preserve"> </w:t>
      </w:r>
      <w:r w:rsidRPr="00463B5B">
        <w:t>will</w:t>
      </w:r>
      <w:r w:rsidR="00DA363A">
        <w:t xml:space="preserve"> </w:t>
      </w:r>
      <w:r w:rsidRPr="00463B5B">
        <w:t>chart</w:t>
      </w:r>
      <w:r w:rsidR="00DA363A">
        <w:t xml:space="preserve"> </w:t>
      </w:r>
      <w:r w:rsidRPr="00463B5B">
        <w:t>success.</w:t>
      </w:r>
      <w:r w:rsidR="00DA363A">
        <w:t xml:space="preserve"> </w:t>
      </w:r>
    </w:p>
    <w:p w14:paraId="5841DD82" w14:textId="77777777" w:rsidR="00DA363A" w:rsidRDefault="00463B5B" w:rsidP="005E12BA">
      <w:pPr>
        <w:pStyle w:val="ListParagraph"/>
        <w:numPr>
          <w:ilvl w:val="0"/>
          <w:numId w:val="35"/>
        </w:numPr>
        <w:tabs>
          <w:tab w:val="left" w:pos="2790"/>
        </w:tabs>
      </w:pPr>
      <w:r w:rsidRPr="00463B5B">
        <w:t>Other</w:t>
      </w:r>
      <w:r w:rsidR="00DA363A">
        <w:t xml:space="preserve"> </w:t>
      </w:r>
      <w:r w:rsidRPr="00463B5B">
        <w:t>Data</w:t>
      </w:r>
      <w:r w:rsidR="00DA363A">
        <w:t xml:space="preserve"> </w:t>
      </w:r>
      <w:r w:rsidRPr="00463B5B">
        <w:t>Requests:</w:t>
      </w:r>
      <w:r w:rsidR="00DA363A">
        <w:t xml:space="preserve"> </w:t>
      </w:r>
      <w:r w:rsidRPr="00463B5B">
        <w:tab/>
        <w:t>Your</w:t>
      </w:r>
      <w:r w:rsidR="00DA363A">
        <w:t xml:space="preserve"> </w:t>
      </w:r>
      <w:r w:rsidRPr="00463B5B">
        <w:t>agency</w:t>
      </w:r>
      <w:r w:rsidR="00DA363A">
        <w:t xml:space="preserve"> </w:t>
      </w:r>
      <w:r w:rsidRPr="00463B5B">
        <w:t>must</w:t>
      </w:r>
      <w:r w:rsidR="00DA363A">
        <w:t xml:space="preserve"> </w:t>
      </w:r>
      <w:r w:rsidRPr="00463B5B">
        <w:t>provide</w:t>
      </w:r>
      <w:r w:rsidR="00DA363A">
        <w:t xml:space="preserve"> </w:t>
      </w:r>
      <w:r w:rsidRPr="00463B5B">
        <w:t>performance</w:t>
      </w:r>
      <w:r w:rsidR="00DA363A">
        <w:t xml:space="preserve"> </w:t>
      </w:r>
      <w:r w:rsidRPr="00463B5B">
        <w:t>and</w:t>
      </w:r>
      <w:r w:rsidR="00DA363A">
        <w:t xml:space="preserve"> </w:t>
      </w:r>
      <w:r w:rsidRPr="00463B5B">
        <w:t>other</w:t>
      </w:r>
      <w:r w:rsidR="00DA363A">
        <w:t xml:space="preserve"> </w:t>
      </w:r>
      <w:r w:rsidRPr="00463B5B">
        <w:t>requested</w:t>
      </w:r>
      <w:r w:rsidR="00DA363A">
        <w:t xml:space="preserve"> </w:t>
      </w:r>
      <w:r w:rsidRPr="00463B5B">
        <w:t>data</w:t>
      </w:r>
      <w:r w:rsidR="00DA363A">
        <w:t xml:space="preserve"> </w:t>
      </w:r>
      <w:r w:rsidRPr="00463B5B">
        <w:t>to</w:t>
      </w:r>
      <w:r w:rsidR="00DA363A">
        <w:t xml:space="preserve"> </w:t>
      </w:r>
      <w:r w:rsidRPr="00463B5B">
        <w:t>the</w:t>
      </w:r>
      <w:r w:rsidR="00DA363A">
        <w:t xml:space="preserve"> </w:t>
      </w:r>
      <w:r w:rsidRPr="00463B5B">
        <w:t>CoC</w:t>
      </w:r>
      <w:r w:rsidR="00DA363A">
        <w:t xml:space="preserve"> </w:t>
      </w:r>
      <w:r w:rsidRPr="00463B5B">
        <w:t>for</w:t>
      </w:r>
      <w:r w:rsidR="00DA363A">
        <w:t xml:space="preserve"> </w:t>
      </w:r>
      <w:r w:rsidRPr="00463B5B">
        <w:t>community-level</w:t>
      </w:r>
      <w:r w:rsidR="00DA363A">
        <w:t xml:space="preserve"> </w:t>
      </w:r>
      <w:r w:rsidRPr="00463B5B">
        <w:t>analysis</w:t>
      </w:r>
      <w:r w:rsidR="00DA363A">
        <w:t xml:space="preserve"> </w:t>
      </w:r>
      <w:r w:rsidRPr="00463B5B">
        <w:t>and</w:t>
      </w:r>
      <w:r w:rsidR="00DA363A">
        <w:t xml:space="preserve"> </w:t>
      </w:r>
      <w:r w:rsidRPr="00463B5B">
        <w:t>planning.</w:t>
      </w:r>
    </w:p>
    <w:p w14:paraId="71DBB31E" w14:textId="77777777" w:rsidR="00DA363A" w:rsidRDefault="00463B5B" w:rsidP="005E12BA">
      <w:pPr>
        <w:pStyle w:val="ListParagraph"/>
        <w:numPr>
          <w:ilvl w:val="0"/>
          <w:numId w:val="35"/>
        </w:numPr>
        <w:tabs>
          <w:tab w:val="left" w:pos="2790"/>
        </w:tabs>
      </w:pPr>
      <w:r w:rsidRPr="00463B5B">
        <w:t>Match</w:t>
      </w:r>
      <w:r w:rsidR="00DA363A">
        <w:t xml:space="preserve"> </w:t>
      </w:r>
      <w:r w:rsidRPr="00463B5B">
        <w:t>Documentation:</w:t>
      </w:r>
      <w:r w:rsidR="00DA363A">
        <w:t xml:space="preserve"> </w:t>
      </w:r>
      <w:r w:rsidRPr="00463B5B">
        <w:t>Your</w:t>
      </w:r>
      <w:r w:rsidR="00DA363A">
        <w:t xml:space="preserve"> </w:t>
      </w:r>
      <w:r w:rsidRPr="00463B5B">
        <w:t>agency</w:t>
      </w:r>
      <w:r w:rsidR="00DA363A">
        <w:t xml:space="preserve"> </w:t>
      </w:r>
      <w:r w:rsidRPr="00463B5B">
        <w:t>must</w:t>
      </w:r>
      <w:r w:rsidR="00DA363A">
        <w:t xml:space="preserve"> </w:t>
      </w:r>
      <w:r w:rsidRPr="00463B5B">
        <w:t>maintain</w:t>
      </w:r>
      <w:r w:rsidR="00DA363A">
        <w:t xml:space="preserve"> </w:t>
      </w:r>
      <w:r w:rsidRPr="00463B5B">
        <w:t>documentation</w:t>
      </w:r>
      <w:r w:rsidR="00DA363A">
        <w:t xml:space="preserve"> </w:t>
      </w:r>
      <w:r w:rsidRPr="00463B5B">
        <w:t>of</w:t>
      </w:r>
      <w:r w:rsidR="00DA363A">
        <w:t xml:space="preserve"> </w:t>
      </w:r>
      <w:r w:rsidRPr="00463B5B">
        <w:t>any</w:t>
      </w:r>
      <w:r w:rsidR="00DA363A">
        <w:t xml:space="preserve"> </w:t>
      </w:r>
      <w:r w:rsidRPr="00463B5B">
        <w:t>required</w:t>
      </w:r>
      <w:r w:rsidR="00DA363A">
        <w:t xml:space="preserve"> </w:t>
      </w:r>
      <w:r w:rsidRPr="00463B5B">
        <w:t>match</w:t>
      </w:r>
      <w:r w:rsidR="00DA363A">
        <w:t xml:space="preserve"> </w:t>
      </w:r>
      <w:r w:rsidRPr="00463B5B">
        <w:t>funding</w:t>
      </w:r>
      <w:r w:rsidR="00DA363A">
        <w:t xml:space="preserve"> </w:t>
      </w:r>
      <w:r w:rsidRPr="00463B5B">
        <w:t>in</w:t>
      </w:r>
      <w:r w:rsidR="00DA363A">
        <w:t xml:space="preserve"> </w:t>
      </w:r>
      <w:r w:rsidRPr="00463B5B">
        <w:t>your</w:t>
      </w:r>
      <w:r w:rsidR="00DA363A">
        <w:t xml:space="preserve"> </w:t>
      </w:r>
      <w:r w:rsidRPr="00463B5B">
        <w:t>financial</w:t>
      </w:r>
      <w:r w:rsidR="00DA363A">
        <w:t xml:space="preserve"> </w:t>
      </w:r>
      <w:r w:rsidRPr="00463B5B">
        <w:t>reports</w:t>
      </w:r>
      <w:r w:rsidR="00DA363A">
        <w:t xml:space="preserve"> </w:t>
      </w:r>
      <w:r w:rsidRPr="00463B5B">
        <w:t>on</w:t>
      </w:r>
      <w:r w:rsidR="00DA363A">
        <w:t xml:space="preserve"> </w:t>
      </w:r>
      <w:r w:rsidRPr="00463B5B">
        <w:t>a</w:t>
      </w:r>
      <w:r w:rsidR="00DA363A">
        <w:t xml:space="preserve"> </w:t>
      </w:r>
      <w:r w:rsidRPr="00463B5B">
        <w:t>grant-specific</w:t>
      </w:r>
      <w:r w:rsidR="00DA363A">
        <w:t xml:space="preserve"> </w:t>
      </w:r>
      <w:r w:rsidRPr="00463B5B">
        <w:t>basis.</w:t>
      </w:r>
    </w:p>
    <w:p w14:paraId="14737F83" w14:textId="77777777" w:rsidR="00DA363A" w:rsidRDefault="00463B5B" w:rsidP="005E12BA">
      <w:pPr>
        <w:pStyle w:val="ListParagraph"/>
        <w:numPr>
          <w:ilvl w:val="0"/>
          <w:numId w:val="35"/>
        </w:numPr>
        <w:tabs>
          <w:tab w:val="left" w:pos="2790"/>
        </w:tabs>
      </w:pPr>
      <w:r w:rsidRPr="00463B5B">
        <w:t>HMIS</w:t>
      </w:r>
      <w:r w:rsidR="00DA363A">
        <w:t xml:space="preserve"> </w:t>
      </w:r>
      <w:r w:rsidRPr="00463B5B">
        <w:t>Participation:</w:t>
      </w:r>
      <w:r w:rsidR="00DA363A">
        <w:t xml:space="preserve"> </w:t>
      </w:r>
      <w:r w:rsidRPr="00463B5B">
        <w:t>Your</w:t>
      </w:r>
      <w:r w:rsidR="00DA363A">
        <w:t xml:space="preserve"> </w:t>
      </w:r>
      <w:r w:rsidRPr="00463B5B">
        <w:t>agency</w:t>
      </w:r>
      <w:r w:rsidR="00DA363A">
        <w:t xml:space="preserve"> </w:t>
      </w:r>
      <w:r w:rsidRPr="00463B5B">
        <w:t>must</w:t>
      </w:r>
      <w:r w:rsidR="00DA363A">
        <w:t xml:space="preserve"> </w:t>
      </w:r>
      <w:r w:rsidRPr="00463B5B">
        <w:t>participate</w:t>
      </w:r>
      <w:r w:rsidR="00DA363A">
        <w:t xml:space="preserve"> </w:t>
      </w:r>
      <w:r w:rsidRPr="00463B5B">
        <w:t>in</w:t>
      </w:r>
      <w:r w:rsidR="00DA363A">
        <w:t xml:space="preserve"> </w:t>
      </w:r>
      <w:r w:rsidRPr="00463B5B">
        <w:t>the</w:t>
      </w:r>
      <w:r w:rsidR="00DA363A">
        <w:t xml:space="preserve"> </w:t>
      </w:r>
      <w:r w:rsidRPr="00463B5B">
        <w:t>CoC’s</w:t>
      </w:r>
      <w:r w:rsidR="00DA363A">
        <w:t xml:space="preserve"> </w:t>
      </w:r>
      <w:r w:rsidRPr="00463B5B">
        <w:t>Homeless</w:t>
      </w:r>
      <w:r w:rsidR="00DA363A">
        <w:t xml:space="preserve"> </w:t>
      </w:r>
      <w:r w:rsidRPr="00463B5B">
        <w:t>Information</w:t>
      </w:r>
      <w:r w:rsidR="00DA363A">
        <w:t xml:space="preserve"> </w:t>
      </w:r>
      <w:r w:rsidRPr="00463B5B">
        <w:t>Management</w:t>
      </w:r>
      <w:r w:rsidR="00DA363A">
        <w:t xml:space="preserve"> </w:t>
      </w:r>
      <w:r w:rsidRPr="00463B5B">
        <w:t>System</w:t>
      </w:r>
      <w:r w:rsidR="00DA363A">
        <w:t xml:space="preserve"> </w:t>
      </w:r>
      <w:r w:rsidRPr="00463B5B">
        <w:t>and</w:t>
      </w:r>
      <w:r w:rsidR="00DA363A">
        <w:t xml:space="preserve"> </w:t>
      </w:r>
      <w:r w:rsidRPr="00463B5B">
        <w:t>enter</w:t>
      </w:r>
      <w:r w:rsidR="00DA363A">
        <w:t xml:space="preserve"> </w:t>
      </w:r>
      <w:r w:rsidRPr="00463B5B">
        <w:t>data</w:t>
      </w:r>
      <w:r w:rsidR="00DA363A">
        <w:t xml:space="preserve"> </w:t>
      </w:r>
      <w:r w:rsidRPr="00463B5B">
        <w:t>consistent</w:t>
      </w:r>
      <w:r w:rsidR="00DA363A">
        <w:t xml:space="preserve"> </w:t>
      </w:r>
      <w:r w:rsidRPr="00463B5B">
        <w:t>with</w:t>
      </w:r>
      <w:r w:rsidR="00DA363A">
        <w:t xml:space="preserve"> </w:t>
      </w:r>
      <w:r w:rsidRPr="00463B5B">
        <w:t>the</w:t>
      </w:r>
      <w:r w:rsidR="00DA363A">
        <w:t xml:space="preserve"> </w:t>
      </w:r>
      <w:r w:rsidRPr="00463B5B">
        <w:t>applicable</w:t>
      </w:r>
      <w:r w:rsidR="00DA363A">
        <w:t xml:space="preserve"> </w:t>
      </w:r>
      <w:r w:rsidRPr="00463B5B">
        <w:t>HMIS</w:t>
      </w:r>
      <w:r w:rsidR="00DA363A">
        <w:t xml:space="preserve"> </w:t>
      </w:r>
      <w:r w:rsidRPr="00463B5B">
        <w:t>Data</w:t>
      </w:r>
      <w:r w:rsidR="00DA363A">
        <w:t xml:space="preserve"> </w:t>
      </w:r>
      <w:r w:rsidRPr="00463B5B">
        <w:t>Standards.</w:t>
      </w:r>
    </w:p>
    <w:p w14:paraId="2DEF7093" w14:textId="77777777" w:rsidR="00DA363A" w:rsidRDefault="00463B5B" w:rsidP="005E12BA">
      <w:pPr>
        <w:pStyle w:val="ListParagraph"/>
        <w:numPr>
          <w:ilvl w:val="0"/>
          <w:numId w:val="35"/>
        </w:numPr>
        <w:tabs>
          <w:tab w:val="left" w:pos="2790"/>
        </w:tabs>
      </w:pPr>
      <w:r w:rsidRPr="00463B5B">
        <w:t>Performance:</w:t>
      </w:r>
      <w:r w:rsidR="00DA363A">
        <w:t xml:space="preserve"> </w:t>
      </w:r>
      <w:r w:rsidRPr="00463B5B">
        <w:t>Your</w:t>
      </w:r>
      <w:r w:rsidR="00DA363A">
        <w:t xml:space="preserve"> </w:t>
      </w:r>
      <w:r w:rsidRPr="00463B5B">
        <w:t>agency</w:t>
      </w:r>
      <w:r w:rsidR="00DA363A">
        <w:t xml:space="preserve"> </w:t>
      </w:r>
      <w:r w:rsidRPr="00463B5B">
        <w:t>must</w:t>
      </w:r>
      <w:r w:rsidR="00DA363A">
        <w:t xml:space="preserve"> </w:t>
      </w:r>
      <w:r w:rsidRPr="00463B5B">
        <w:t>perform</w:t>
      </w:r>
      <w:r w:rsidR="00DA363A">
        <w:t xml:space="preserve"> </w:t>
      </w:r>
      <w:r w:rsidRPr="00463B5B">
        <w:t>the</w:t>
      </w:r>
      <w:r w:rsidR="00DA363A">
        <w:t xml:space="preserve"> </w:t>
      </w:r>
      <w:r w:rsidRPr="00463B5B">
        <w:t>tasks</w:t>
      </w:r>
      <w:r w:rsidR="00DA363A">
        <w:t xml:space="preserve"> </w:t>
      </w:r>
      <w:r w:rsidRPr="00463B5B">
        <w:t>outlined</w:t>
      </w:r>
      <w:r w:rsidR="00DA363A">
        <w:t xml:space="preserve"> </w:t>
      </w:r>
      <w:r w:rsidRPr="00463B5B">
        <w:t>in</w:t>
      </w:r>
      <w:r w:rsidR="00DA363A">
        <w:t xml:space="preserve"> </w:t>
      </w:r>
      <w:r w:rsidRPr="00463B5B">
        <w:t>your</w:t>
      </w:r>
      <w:r w:rsidR="00DA363A">
        <w:t xml:space="preserve"> </w:t>
      </w:r>
      <w:r w:rsidRPr="00463B5B">
        <w:t>application</w:t>
      </w:r>
      <w:r w:rsidR="00DA363A">
        <w:t xml:space="preserve"> </w:t>
      </w:r>
      <w:r w:rsidRPr="00463B5B">
        <w:t>and</w:t>
      </w:r>
      <w:r w:rsidR="00DA363A">
        <w:t xml:space="preserve"> </w:t>
      </w:r>
      <w:r w:rsidRPr="00463B5B">
        <w:t>grant</w:t>
      </w:r>
      <w:r w:rsidR="00DA363A">
        <w:t xml:space="preserve"> </w:t>
      </w:r>
      <w:r w:rsidRPr="00463B5B">
        <w:t>agreement,</w:t>
      </w:r>
      <w:r w:rsidR="00DA363A">
        <w:t xml:space="preserve"> </w:t>
      </w:r>
      <w:r w:rsidRPr="00463B5B">
        <w:t>including</w:t>
      </w:r>
      <w:r w:rsidR="00DA363A">
        <w:t xml:space="preserve"> </w:t>
      </w:r>
      <w:r w:rsidRPr="00463B5B">
        <w:t>complying</w:t>
      </w:r>
      <w:r w:rsidR="00DA363A">
        <w:t xml:space="preserve"> </w:t>
      </w:r>
      <w:r w:rsidRPr="00463B5B">
        <w:t>with</w:t>
      </w:r>
      <w:r w:rsidR="00DA363A">
        <w:t xml:space="preserve"> </w:t>
      </w:r>
      <w:proofErr w:type="gramStart"/>
      <w:r w:rsidRPr="00463B5B">
        <w:t>all</w:t>
      </w:r>
      <w:r w:rsidR="00DA363A">
        <w:t xml:space="preserve"> </w:t>
      </w:r>
      <w:r w:rsidRPr="00463B5B">
        <w:t>of</w:t>
      </w:r>
      <w:proofErr w:type="gramEnd"/>
      <w:r w:rsidR="00DA363A">
        <w:t xml:space="preserve"> </w:t>
      </w:r>
      <w:r w:rsidRPr="00463B5B">
        <w:t>the</w:t>
      </w:r>
      <w:r w:rsidR="00DA363A">
        <w:t xml:space="preserve"> </w:t>
      </w:r>
      <w:r w:rsidRPr="00463B5B">
        <w:t>language</w:t>
      </w:r>
      <w:r w:rsidR="00DA363A">
        <w:t xml:space="preserve"> </w:t>
      </w:r>
      <w:r w:rsidRPr="00463B5B">
        <w:t>in</w:t>
      </w:r>
      <w:r w:rsidR="00DA363A">
        <w:t xml:space="preserve"> </w:t>
      </w:r>
      <w:r w:rsidRPr="00463B5B">
        <w:t>the</w:t>
      </w:r>
      <w:r w:rsidR="00DA363A">
        <w:t xml:space="preserve"> </w:t>
      </w:r>
      <w:r w:rsidRPr="00463B5B">
        <w:t>Applicant</w:t>
      </w:r>
      <w:r w:rsidR="00DA363A">
        <w:t xml:space="preserve"> </w:t>
      </w:r>
      <w:r w:rsidRPr="00463B5B">
        <w:t>Certifications,</w:t>
      </w:r>
      <w:r w:rsidR="00DA363A">
        <w:t xml:space="preserve"> </w:t>
      </w:r>
      <w:r w:rsidRPr="00463B5B">
        <w:t>and</w:t>
      </w:r>
      <w:r w:rsidR="00DA363A">
        <w:t xml:space="preserve"> </w:t>
      </w:r>
      <w:r w:rsidRPr="00463B5B">
        <w:t>following</w:t>
      </w:r>
      <w:r w:rsidR="00DA363A">
        <w:t xml:space="preserve"> </w:t>
      </w:r>
      <w:r w:rsidRPr="00463B5B">
        <w:t>all</w:t>
      </w:r>
      <w:r w:rsidR="00DA363A">
        <w:t xml:space="preserve"> </w:t>
      </w:r>
      <w:r w:rsidRPr="00463B5B">
        <w:t>HUD</w:t>
      </w:r>
      <w:r w:rsidR="00DA363A">
        <w:t xml:space="preserve"> </w:t>
      </w:r>
      <w:r w:rsidRPr="00463B5B">
        <w:t>statutes</w:t>
      </w:r>
      <w:r w:rsidR="00DA363A">
        <w:t xml:space="preserve"> </w:t>
      </w:r>
      <w:r w:rsidRPr="00463B5B">
        <w:t>and</w:t>
      </w:r>
      <w:r w:rsidR="00DA363A">
        <w:t xml:space="preserve"> </w:t>
      </w:r>
      <w:r w:rsidRPr="00463B5B">
        <w:t>regulations</w:t>
      </w:r>
      <w:r w:rsidR="00DA363A">
        <w:t xml:space="preserve"> </w:t>
      </w:r>
      <w:r w:rsidRPr="00463B5B">
        <w:t>applicable</w:t>
      </w:r>
      <w:r w:rsidR="00DA363A">
        <w:t xml:space="preserve"> </w:t>
      </w:r>
      <w:r w:rsidRPr="00463B5B">
        <w:t>to</w:t>
      </w:r>
      <w:r w:rsidR="00DA363A">
        <w:t xml:space="preserve"> </w:t>
      </w:r>
      <w:r w:rsidRPr="00463B5B">
        <w:t>the</w:t>
      </w:r>
      <w:r w:rsidR="00DA363A">
        <w:t xml:space="preserve"> </w:t>
      </w:r>
      <w:r w:rsidRPr="00463B5B">
        <w:t>grant.</w:t>
      </w:r>
    </w:p>
    <w:p w14:paraId="55BE82C7" w14:textId="77777777" w:rsidR="00201971" w:rsidRDefault="00463B5B" w:rsidP="005E12BA">
      <w:pPr>
        <w:pStyle w:val="ListParagraph"/>
        <w:numPr>
          <w:ilvl w:val="0"/>
          <w:numId w:val="35"/>
        </w:numPr>
        <w:tabs>
          <w:tab w:val="left" w:pos="2790"/>
        </w:tabs>
      </w:pPr>
      <w:r w:rsidRPr="00463B5B">
        <w:t>Documentation</w:t>
      </w:r>
      <w:r w:rsidR="00DA363A">
        <w:t xml:space="preserve"> </w:t>
      </w:r>
      <w:r w:rsidRPr="00463B5B">
        <w:t>of</w:t>
      </w:r>
      <w:r w:rsidR="00201971">
        <w:t xml:space="preserve"> </w:t>
      </w:r>
      <w:r w:rsidRPr="00463B5B">
        <w:t>Homeless</w:t>
      </w:r>
      <w:r w:rsidR="00201971">
        <w:t xml:space="preserve"> </w:t>
      </w:r>
      <w:r w:rsidRPr="00463B5B">
        <w:t>Status</w:t>
      </w:r>
      <w:r w:rsidR="00201971">
        <w:t xml:space="preserve"> </w:t>
      </w:r>
      <w:r w:rsidRPr="00463B5B">
        <w:t>and</w:t>
      </w:r>
      <w:r w:rsidR="00201971">
        <w:t xml:space="preserve"> </w:t>
      </w:r>
      <w:r w:rsidRPr="00463B5B">
        <w:t>Disability</w:t>
      </w:r>
      <w:r w:rsidR="00201971">
        <w:t xml:space="preserve"> </w:t>
      </w:r>
      <w:r w:rsidRPr="00463B5B">
        <w:t>Status:</w:t>
      </w:r>
      <w:r w:rsidR="00201971">
        <w:t xml:space="preserve"> </w:t>
      </w:r>
      <w:r w:rsidRPr="00463B5B">
        <w:t>HUD</w:t>
      </w:r>
      <w:r w:rsidR="00201971">
        <w:t xml:space="preserve"> </w:t>
      </w:r>
      <w:r w:rsidRPr="00463B5B">
        <w:t>requires</w:t>
      </w:r>
      <w:r w:rsidR="00201971">
        <w:t xml:space="preserve"> </w:t>
      </w:r>
      <w:r w:rsidRPr="00463B5B">
        <w:t>all</w:t>
      </w:r>
      <w:r w:rsidR="00201971">
        <w:t xml:space="preserve"> </w:t>
      </w:r>
      <w:r w:rsidRPr="00463B5B">
        <w:t>recipients</w:t>
      </w:r>
      <w:r w:rsidR="00201971">
        <w:t xml:space="preserve"> </w:t>
      </w:r>
      <w:r w:rsidRPr="00463B5B">
        <w:t>to</w:t>
      </w:r>
      <w:r w:rsidR="00201971">
        <w:t xml:space="preserve"> </w:t>
      </w:r>
      <w:r w:rsidRPr="00463B5B">
        <w:t>document</w:t>
      </w:r>
      <w:r w:rsidR="00201971">
        <w:t xml:space="preserve"> </w:t>
      </w:r>
      <w:r w:rsidRPr="00463B5B">
        <w:t>the</w:t>
      </w:r>
      <w:r w:rsidR="00201971">
        <w:t xml:space="preserve"> </w:t>
      </w:r>
      <w:r w:rsidRPr="00463B5B">
        <w:t>homeless</w:t>
      </w:r>
      <w:r w:rsidR="00201971">
        <w:t xml:space="preserve"> </w:t>
      </w:r>
      <w:r w:rsidRPr="00463B5B">
        <w:t>status,</w:t>
      </w:r>
      <w:r w:rsidR="00201971">
        <w:t xml:space="preserve"> </w:t>
      </w:r>
      <w:r w:rsidRPr="00463B5B">
        <w:t>and</w:t>
      </w:r>
      <w:r w:rsidR="00201971">
        <w:t xml:space="preserve"> </w:t>
      </w:r>
      <w:r w:rsidRPr="00463B5B">
        <w:t>in</w:t>
      </w:r>
      <w:r w:rsidR="00201971">
        <w:t xml:space="preserve"> </w:t>
      </w:r>
      <w:r w:rsidRPr="00463B5B">
        <w:t>some</w:t>
      </w:r>
      <w:r w:rsidR="00201971">
        <w:t xml:space="preserve"> </w:t>
      </w:r>
      <w:r w:rsidRPr="00463B5B">
        <w:t>cases</w:t>
      </w:r>
      <w:r w:rsidR="00201971">
        <w:t xml:space="preserve"> </w:t>
      </w:r>
      <w:r w:rsidRPr="00463B5B">
        <w:t>the</w:t>
      </w:r>
      <w:r w:rsidR="00201971">
        <w:t xml:space="preserve"> </w:t>
      </w:r>
      <w:r w:rsidRPr="00463B5B">
        <w:t>disability</w:t>
      </w:r>
      <w:r w:rsidR="00201971">
        <w:t xml:space="preserve"> </w:t>
      </w:r>
      <w:r w:rsidRPr="00463B5B">
        <w:t>status,</w:t>
      </w:r>
      <w:r w:rsidR="00201971">
        <w:t xml:space="preserve"> </w:t>
      </w:r>
      <w:r w:rsidRPr="00463B5B">
        <w:t>for</w:t>
      </w:r>
      <w:r w:rsidR="00201971">
        <w:t xml:space="preserve"> </w:t>
      </w:r>
      <w:r w:rsidRPr="00463B5B">
        <w:t>all</w:t>
      </w:r>
      <w:r w:rsidR="00201971">
        <w:t xml:space="preserve"> </w:t>
      </w:r>
      <w:r w:rsidRPr="00463B5B">
        <w:t>clients.</w:t>
      </w:r>
    </w:p>
    <w:p w14:paraId="08AC0229" w14:textId="77777777" w:rsidR="00201971" w:rsidRDefault="00463B5B" w:rsidP="00201971">
      <w:pPr>
        <w:tabs>
          <w:tab w:val="left" w:pos="2790"/>
        </w:tabs>
        <w:ind w:left="360"/>
      </w:pPr>
      <w:r w:rsidRPr="00201971">
        <w:rPr>
          <w:b/>
        </w:rPr>
        <w:t>Housing</w:t>
      </w:r>
      <w:r w:rsidR="00201971" w:rsidRPr="00201971">
        <w:rPr>
          <w:b/>
        </w:rPr>
        <w:t xml:space="preserve"> </w:t>
      </w:r>
      <w:r w:rsidRPr="00201971">
        <w:rPr>
          <w:b/>
        </w:rPr>
        <w:t>Related</w:t>
      </w:r>
      <w:r w:rsidR="00201971" w:rsidRPr="00201971">
        <w:rPr>
          <w:b/>
        </w:rPr>
        <w:t xml:space="preserve"> </w:t>
      </w:r>
      <w:r w:rsidRPr="00201971">
        <w:rPr>
          <w:b/>
        </w:rPr>
        <w:t>Requirements:</w:t>
      </w:r>
      <w:r w:rsidR="00201971">
        <w:t xml:space="preserve"> </w:t>
      </w:r>
    </w:p>
    <w:p w14:paraId="49DB87A8" w14:textId="77777777" w:rsidR="00201971" w:rsidRDefault="00463B5B" w:rsidP="00201971">
      <w:pPr>
        <w:pStyle w:val="ListParagraph"/>
        <w:numPr>
          <w:ilvl w:val="0"/>
          <w:numId w:val="36"/>
        </w:numPr>
        <w:tabs>
          <w:tab w:val="left" w:pos="2790"/>
        </w:tabs>
      </w:pPr>
      <w:r w:rsidRPr="00463B5B">
        <w:t>HUD</w:t>
      </w:r>
      <w:r w:rsidR="00201971">
        <w:t xml:space="preserve"> </w:t>
      </w:r>
      <w:r w:rsidRPr="00463B5B">
        <w:t>required</w:t>
      </w:r>
      <w:r w:rsidR="00201971">
        <w:t xml:space="preserve"> </w:t>
      </w:r>
      <w:r w:rsidRPr="00463B5B">
        <w:t>recipients</w:t>
      </w:r>
      <w:r w:rsidR="00201971">
        <w:t xml:space="preserve"> </w:t>
      </w:r>
      <w:r w:rsidRPr="00463B5B">
        <w:t>to</w:t>
      </w:r>
      <w:r w:rsidR="00201971">
        <w:t xml:space="preserve"> </w:t>
      </w:r>
      <w:proofErr w:type="gramStart"/>
      <w:r w:rsidRPr="00463B5B">
        <w:t>ensure:</w:t>
      </w:r>
      <w:proofErr w:type="gramEnd"/>
      <w:r w:rsidR="00201971">
        <w:t xml:space="preserve"> </w:t>
      </w:r>
      <w:r w:rsidRPr="00463B5B">
        <w:t>compliance</w:t>
      </w:r>
      <w:r w:rsidRPr="00463B5B">
        <w:tab/>
        <w:t>with</w:t>
      </w:r>
      <w:r w:rsidR="00201971">
        <w:t xml:space="preserve"> </w:t>
      </w:r>
      <w:r w:rsidRPr="00463B5B">
        <w:t>Housing</w:t>
      </w:r>
      <w:r w:rsidR="00201971">
        <w:t xml:space="preserve"> </w:t>
      </w:r>
      <w:r w:rsidRPr="00463B5B">
        <w:t>Quality</w:t>
      </w:r>
      <w:r w:rsidR="00201971">
        <w:t xml:space="preserve"> </w:t>
      </w:r>
      <w:r w:rsidRPr="00463B5B">
        <w:t>Standards</w:t>
      </w:r>
      <w:r w:rsidR="00201971">
        <w:t xml:space="preserve"> </w:t>
      </w:r>
      <w:r w:rsidRPr="00463B5B">
        <w:t>(HQS),</w:t>
      </w:r>
      <w:r w:rsidR="00201971">
        <w:t xml:space="preserve"> </w:t>
      </w:r>
      <w:r w:rsidRPr="00463B5B">
        <w:t>that</w:t>
      </w:r>
      <w:r w:rsidR="00201971">
        <w:t xml:space="preserve"> </w:t>
      </w:r>
      <w:r w:rsidRPr="00463B5B">
        <w:t>housing</w:t>
      </w:r>
      <w:r w:rsidR="00201971">
        <w:t xml:space="preserve"> </w:t>
      </w:r>
      <w:r w:rsidRPr="00463B5B">
        <w:t>is</w:t>
      </w:r>
      <w:r w:rsidR="00201971">
        <w:t xml:space="preserve"> </w:t>
      </w:r>
      <w:r w:rsidRPr="00463B5B">
        <w:t>appropriate</w:t>
      </w:r>
      <w:r w:rsidR="00201971">
        <w:t xml:space="preserve"> </w:t>
      </w:r>
      <w:r w:rsidRPr="00463B5B">
        <w:t>to</w:t>
      </w:r>
      <w:r w:rsidR="00201971">
        <w:t xml:space="preserve"> </w:t>
      </w:r>
      <w:r w:rsidRPr="00463B5B">
        <w:t>the</w:t>
      </w:r>
      <w:r w:rsidR="00201971">
        <w:t xml:space="preserve"> </w:t>
      </w:r>
      <w:r w:rsidRPr="00463B5B">
        <w:t>needs</w:t>
      </w:r>
      <w:r w:rsidR="00201971">
        <w:t xml:space="preserve"> </w:t>
      </w:r>
      <w:r w:rsidRPr="00463B5B">
        <w:t>of</w:t>
      </w:r>
      <w:r w:rsidR="00201971">
        <w:t xml:space="preserve"> </w:t>
      </w:r>
      <w:r w:rsidRPr="00463B5B">
        <w:t>the</w:t>
      </w:r>
      <w:r w:rsidR="00201971">
        <w:t xml:space="preserve"> </w:t>
      </w:r>
      <w:r w:rsidRPr="00463B5B">
        <w:t>persons</w:t>
      </w:r>
      <w:r w:rsidR="00201971">
        <w:t xml:space="preserve"> </w:t>
      </w:r>
      <w:r w:rsidRPr="00463B5B">
        <w:t>served,</w:t>
      </w:r>
      <w:r w:rsidR="00201971">
        <w:t xml:space="preserve"> </w:t>
      </w:r>
      <w:r w:rsidRPr="00463B5B">
        <w:t>suitable</w:t>
      </w:r>
      <w:r w:rsidR="00201971">
        <w:t xml:space="preserve"> </w:t>
      </w:r>
      <w:r w:rsidRPr="00463B5B">
        <w:t>dwelling</w:t>
      </w:r>
      <w:r w:rsidR="00201971">
        <w:t xml:space="preserve"> </w:t>
      </w:r>
      <w:r w:rsidRPr="00463B5B">
        <w:t>size,</w:t>
      </w:r>
      <w:r w:rsidR="00201971">
        <w:t xml:space="preserve"> </w:t>
      </w:r>
      <w:r w:rsidRPr="00463B5B">
        <w:t>and</w:t>
      </w:r>
      <w:r w:rsidR="00201971">
        <w:t xml:space="preserve"> </w:t>
      </w:r>
      <w:r w:rsidRPr="00463B5B">
        <w:t>that</w:t>
      </w:r>
      <w:r w:rsidR="00201971">
        <w:t xml:space="preserve"> </w:t>
      </w:r>
      <w:r w:rsidRPr="00463B5B">
        <w:t>housing</w:t>
      </w:r>
      <w:r w:rsidRPr="00463B5B">
        <w:tab/>
      </w:r>
      <w:r w:rsidR="00201971">
        <w:t xml:space="preserve"> r</w:t>
      </w:r>
      <w:r w:rsidRPr="00463B5B">
        <w:t>ental</w:t>
      </w:r>
      <w:r w:rsidR="00201971">
        <w:t xml:space="preserve"> </w:t>
      </w:r>
      <w:r w:rsidRPr="00463B5B">
        <w:t>amount</w:t>
      </w:r>
      <w:r w:rsidR="00201971">
        <w:t xml:space="preserve"> </w:t>
      </w:r>
      <w:r w:rsidRPr="00463B5B">
        <w:t>is</w:t>
      </w:r>
      <w:r w:rsidR="00201971">
        <w:t xml:space="preserve"> </w:t>
      </w:r>
      <w:r w:rsidRPr="00463B5B">
        <w:t>within</w:t>
      </w:r>
      <w:r w:rsidR="00201971">
        <w:t xml:space="preserve"> </w:t>
      </w:r>
      <w:r w:rsidRPr="00463B5B">
        <w:t>HUD’s</w:t>
      </w:r>
      <w:r w:rsidR="00201971">
        <w:t xml:space="preserve"> </w:t>
      </w:r>
      <w:r w:rsidRPr="00463B5B">
        <w:t>guidelines.</w:t>
      </w:r>
    </w:p>
    <w:p w14:paraId="05F00AAE" w14:textId="77777777" w:rsidR="00201971" w:rsidRDefault="00463B5B" w:rsidP="005E12BA">
      <w:pPr>
        <w:pStyle w:val="ListParagraph"/>
        <w:numPr>
          <w:ilvl w:val="0"/>
          <w:numId w:val="36"/>
        </w:numPr>
        <w:tabs>
          <w:tab w:val="left" w:pos="2790"/>
        </w:tabs>
      </w:pPr>
      <w:proofErr w:type="gramStart"/>
      <w:r w:rsidRPr="00463B5B">
        <w:t>Service</w:t>
      </w:r>
      <w:r w:rsidR="00201971">
        <w:t xml:space="preserve"> </w:t>
      </w:r>
      <w:r w:rsidRPr="00463B5B">
        <w:t>Related</w:t>
      </w:r>
      <w:proofErr w:type="gramEnd"/>
      <w:r w:rsidR="00201971">
        <w:t xml:space="preserve"> </w:t>
      </w:r>
      <w:r w:rsidRPr="00463B5B">
        <w:t>Requirements:</w:t>
      </w:r>
      <w:r w:rsidR="00201971">
        <w:t xml:space="preserve"> </w:t>
      </w:r>
      <w:r w:rsidRPr="00463B5B">
        <w:t>Supportive</w:t>
      </w:r>
      <w:r w:rsidR="00201971">
        <w:t xml:space="preserve"> </w:t>
      </w:r>
      <w:r w:rsidRPr="00463B5B">
        <w:t>housing</w:t>
      </w:r>
      <w:r w:rsidR="00201971">
        <w:t xml:space="preserve"> </w:t>
      </w:r>
      <w:r w:rsidRPr="00463B5B">
        <w:t>programs</w:t>
      </w:r>
      <w:r w:rsidR="00201971">
        <w:t xml:space="preserve"> </w:t>
      </w:r>
      <w:r w:rsidRPr="00463B5B">
        <w:t>must</w:t>
      </w:r>
      <w:r w:rsidR="00201971">
        <w:t xml:space="preserve"> </w:t>
      </w:r>
      <w:r w:rsidRPr="00463B5B">
        <w:t>provide</w:t>
      </w:r>
      <w:r w:rsidR="00201971">
        <w:t xml:space="preserve"> </w:t>
      </w:r>
      <w:r w:rsidRPr="00463B5B">
        <w:t>meals</w:t>
      </w:r>
      <w:r w:rsidR="00201971">
        <w:t xml:space="preserve"> </w:t>
      </w:r>
      <w:r w:rsidRPr="00463B5B">
        <w:t>or</w:t>
      </w:r>
      <w:r w:rsidR="00201971">
        <w:t xml:space="preserve"> </w:t>
      </w:r>
      <w:r w:rsidRPr="00463B5B">
        <w:t>meal</w:t>
      </w:r>
      <w:r w:rsidR="00201971">
        <w:t xml:space="preserve"> </w:t>
      </w:r>
      <w:r w:rsidRPr="00463B5B">
        <w:t>preparation</w:t>
      </w:r>
      <w:r w:rsidR="00201971">
        <w:t xml:space="preserve"> </w:t>
      </w:r>
      <w:r w:rsidRPr="00463B5B">
        <w:t>facilities,</w:t>
      </w:r>
      <w:r w:rsidR="00201971">
        <w:t xml:space="preserve"> </w:t>
      </w:r>
      <w:r w:rsidRPr="00463B5B">
        <w:t>and</w:t>
      </w:r>
      <w:r w:rsidR="00201971">
        <w:t xml:space="preserve"> </w:t>
      </w:r>
      <w:r w:rsidRPr="00463B5B">
        <w:t>residential</w:t>
      </w:r>
      <w:r w:rsidR="00201971">
        <w:t xml:space="preserve"> </w:t>
      </w:r>
      <w:r w:rsidRPr="00463B5B">
        <w:t>supervision.</w:t>
      </w:r>
      <w:r w:rsidR="00201971">
        <w:t xml:space="preserve"> </w:t>
      </w:r>
      <w:r w:rsidRPr="00463B5B">
        <w:t>All</w:t>
      </w:r>
      <w:r w:rsidR="00201971">
        <w:t xml:space="preserve"> </w:t>
      </w:r>
      <w:r w:rsidRPr="00463B5B">
        <w:t>programs</w:t>
      </w:r>
      <w:r w:rsidR="00201971">
        <w:t xml:space="preserve"> </w:t>
      </w:r>
      <w:r w:rsidRPr="00463B5B">
        <w:t>must</w:t>
      </w:r>
      <w:r w:rsidR="00201971">
        <w:t xml:space="preserve"> </w:t>
      </w:r>
      <w:r w:rsidRPr="00463B5B">
        <w:t>provide</w:t>
      </w:r>
      <w:r w:rsidR="00201971">
        <w:t xml:space="preserve"> </w:t>
      </w:r>
      <w:r w:rsidRPr="00463B5B">
        <w:t>ongoing</w:t>
      </w:r>
      <w:r w:rsidR="00201971">
        <w:t xml:space="preserve"> </w:t>
      </w:r>
      <w:r w:rsidRPr="00463B5B">
        <w:t>assessment</w:t>
      </w:r>
      <w:r w:rsidR="00201971">
        <w:t xml:space="preserve"> </w:t>
      </w:r>
      <w:r w:rsidRPr="00463B5B">
        <w:t>of</w:t>
      </w:r>
      <w:r w:rsidR="00201971">
        <w:t xml:space="preserve"> </w:t>
      </w:r>
      <w:r w:rsidRPr="00463B5B">
        <w:t>supportive</w:t>
      </w:r>
      <w:r w:rsidR="00201971">
        <w:t xml:space="preserve"> </w:t>
      </w:r>
      <w:r w:rsidRPr="00463B5B">
        <w:t>services.</w:t>
      </w:r>
    </w:p>
    <w:p w14:paraId="64D67619" w14:textId="77777777" w:rsidR="00201971" w:rsidRDefault="00463B5B" w:rsidP="005E12BA">
      <w:pPr>
        <w:pStyle w:val="ListParagraph"/>
        <w:numPr>
          <w:ilvl w:val="0"/>
          <w:numId w:val="36"/>
        </w:numPr>
        <w:tabs>
          <w:tab w:val="left" w:pos="2790"/>
        </w:tabs>
      </w:pPr>
      <w:r w:rsidRPr="00463B5B">
        <w:t>Fair</w:t>
      </w:r>
      <w:r w:rsidR="00201971">
        <w:t xml:space="preserve"> </w:t>
      </w:r>
      <w:r w:rsidRPr="00463B5B">
        <w:t>Housing:</w:t>
      </w:r>
      <w:r w:rsidR="00201971">
        <w:t xml:space="preserve"> </w:t>
      </w:r>
      <w:r w:rsidRPr="00463B5B">
        <w:t>HUD</w:t>
      </w:r>
      <w:r w:rsidR="00201971">
        <w:t xml:space="preserve"> </w:t>
      </w:r>
      <w:r w:rsidRPr="00463B5B">
        <w:t>requires</w:t>
      </w:r>
      <w:r w:rsidR="00201971">
        <w:t xml:space="preserve"> </w:t>
      </w:r>
      <w:r w:rsidRPr="00463B5B">
        <w:t>compliance</w:t>
      </w:r>
      <w:r w:rsidR="00201971">
        <w:t xml:space="preserve"> </w:t>
      </w:r>
      <w:r w:rsidRPr="00463B5B">
        <w:t>with</w:t>
      </w:r>
      <w:r w:rsidR="00201971">
        <w:t xml:space="preserve"> </w:t>
      </w:r>
      <w:r w:rsidRPr="00463B5B">
        <w:t>requirements</w:t>
      </w:r>
      <w:r w:rsidR="00201971">
        <w:t xml:space="preserve"> </w:t>
      </w:r>
      <w:r w:rsidRPr="00463B5B">
        <w:t>related</w:t>
      </w:r>
      <w:r w:rsidR="00201971">
        <w:t xml:space="preserve"> </w:t>
      </w:r>
      <w:r w:rsidRPr="00463B5B">
        <w:t>to</w:t>
      </w:r>
      <w:r w:rsidR="00201971">
        <w:t xml:space="preserve"> </w:t>
      </w:r>
      <w:r w:rsidRPr="00463B5B">
        <w:t>Fair</w:t>
      </w:r>
      <w:r w:rsidR="00201971">
        <w:t xml:space="preserve"> </w:t>
      </w:r>
      <w:r w:rsidRPr="00463B5B">
        <w:t>Housing</w:t>
      </w:r>
      <w:r w:rsidR="00201971">
        <w:t xml:space="preserve"> </w:t>
      </w:r>
      <w:r w:rsidRPr="00463B5B">
        <w:t>and</w:t>
      </w:r>
      <w:r w:rsidR="00201971">
        <w:t xml:space="preserve"> </w:t>
      </w:r>
      <w:r w:rsidRPr="00463B5B">
        <w:t>Equal</w:t>
      </w:r>
      <w:r w:rsidR="00201971">
        <w:t xml:space="preserve"> </w:t>
      </w:r>
      <w:r w:rsidRPr="00463B5B">
        <w:t>Opportunity,</w:t>
      </w:r>
      <w:r w:rsidR="00201971">
        <w:t xml:space="preserve"> </w:t>
      </w:r>
      <w:r w:rsidRPr="00463B5B">
        <w:t>Equal</w:t>
      </w:r>
      <w:r w:rsidR="00201971">
        <w:t xml:space="preserve"> </w:t>
      </w:r>
      <w:r w:rsidRPr="00463B5B">
        <w:t>Access</w:t>
      </w:r>
      <w:r w:rsidR="00201971">
        <w:t xml:space="preserve"> </w:t>
      </w:r>
      <w:r w:rsidRPr="00463B5B">
        <w:t>to</w:t>
      </w:r>
      <w:r w:rsidR="00201971">
        <w:t xml:space="preserve"> </w:t>
      </w:r>
      <w:r w:rsidRPr="00463B5B">
        <w:t>Housing</w:t>
      </w:r>
      <w:r w:rsidR="00201971">
        <w:t xml:space="preserve"> </w:t>
      </w:r>
      <w:r w:rsidRPr="00463B5B">
        <w:t>in</w:t>
      </w:r>
      <w:r w:rsidR="00201971">
        <w:t xml:space="preserve"> </w:t>
      </w:r>
      <w:r w:rsidRPr="00463B5B">
        <w:t>HUD</w:t>
      </w:r>
      <w:r w:rsidR="00201971">
        <w:t xml:space="preserve"> </w:t>
      </w:r>
      <w:r w:rsidRPr="00463B5B">
        <w:t>Programs</w:t>
      </w:r>
      <w:r w:rsidR="00201971">
        <w:t xml:space="preserve"> </w:t>
      </w:r>
      <w:r w:rsidRPr="00463B5B">
        <w:t>Regardless</w:t>
      </w:r>
      <w:r w:rsidR="00201971">
        <w:t xml:space="preserve"> </w:t>
      </w:r>
      <w:r w:rsidRPr="00463B5B">
        <w:t>of</w:t>
      </w:r>
      <w:r w:rsidR="00201971">
        <w:t xml:space="preserve"> </w:t>
      </w:r>
      <w:r w:rsidRPr="00463B5B">
        <w:t>Sexual</w:t>
      </w:r>
      <w:r w:rsidR="00201971">
        <w:t xml:space="preserve"> </w:t>
      </w:r>
      <w:r w:rsidRPr="00463B5B">
        <w:t>Orientation</w:t>
      </w:r>
      <w:r w:rsidR="00201971">
        <w:t xml:space="preserve"> </w:t>
      </w:r>
      <w:r w:rsidRPr="00463B5B">
        <w:t>or</w:t>
      </w:r>
      <w:r w:rsidR="00201971">
        <w:t xml:space="preserve"> </w:t>
      </w:r>
      <w:r w:rsidRPr="00463B5B">
        <w:t>Gender</w:t>
      </w:r>
      <w:r w:rsidR="00201971">
        <w:t xml:space="preserve"> </w:t>
      </w:r>
      <w:r w:rsidRPr="00463B5B">
        <w:t>Identity,</w:t>
      </w:r>
      <w:r w:rsidR="00201971">
        <w:t xml:space="preserve"> </w:t>
      </w:r>
      <w:r w:rsidRPr="00463B5B">
        <w:t>and</w:t>
      </w:r>
      <w:r w:rsidR="00201971">
        <w:t xml:space="preserve"> </w:t>
      </w:r>
      <w:r w:rsidRPr="00463B5B">
        <w:t>Resolution</w:t>
      </w:r>
      <w:r w:rsidR="00201971">
        <w:t xml:space="preserve"> </w:t>
      </w:r>
      <w:r w:rsidRPr="00463B5B">
        <w:t>of</w:t>
      </w:r>
      <w:r w:rsidR="00201971">
        <w:t xml:space="preserve"> </w:t>
      </w:r>
      <w:r w:rsidRPr="00463B5B">
        <w:t>Outstanding</w:t>
      </w:r>
      <w:r w:rsidR="00201971">
        <w:t xml:space="preserve"> </w:t>
      </w:r>
      <w:r w:rsidRPr="00463B5B">
        <w:t>Civil</w:t>
      </w:r>
      <w:r w:rsidR="00201971">
        <w:t xml:space="preserve"> </w:t>
      </w:r>
      <w:r w:rsidRPr="00463B5B">
        <w:t>Rights</w:t>
      </w:r>
      <w:r w:rsidR="00201971">
        <w:t xml:space="preserve"> </w:t>
      </w:r>
      <w:r w:rsidRPr="00463B5B">
        <w:t>Matters.</w:t>
      </w:r>
      <w:r w:rsidR="00201971">
        <w:t xml:space="preserve"> </w:t>
      </w:r>
      <w:r w:rsidRPr="00463B5B">
        <w:t>This</w:t>
      </w:r>
      <w:r w:rsidR="00201971">
        <w:t xml:space="preserve"> </w:t>
      </w:r>
      <w:r w:rsidRPr="00463B5B">
        <w:t>includes</w:t>
      </w:r>
      <w:r w:rsidR="00201971">
        <w:t xml:space="preserve"> </w:t>
      </w:r>
      <w:r w:rsidRPr="00463B5B">
        <w:t>outreach</w:t>
      </w:r>
      <w:r w:rsidR="00201971">
        <w:t xml:space="preserve"> </w:t>
      </w:r>
      <w:r w:rsidRPr="00463B5B">
        <w:t>to</w:t>
      </w:r>
      <w:r w:rsidR="00201971">
        <w:t xml:space="preserve"> </w:t>
      </w:r>
      <w:r w:rsidRPr="00463B5B">
        <w:t>underserved</w:t>
      </w:r>
      <w:r w:rsidR="00201971">
        <w:t xml:space="preserve"> </w:t>
      </w:r>
      <w:r w:rsidRPr="00463B5B">
        <w:t>populations,</w:t>
      </w:r>
      <w:r w:rsidR="00201971">
        <w:t xml:space="preserve"> </w:t>
      </w:r>
      <w:r w:rsidRPr="00463B5B">
        <w:t>including</w:t>
      </w:r>
      <w:r w:rsidR="00201971">
        <w:t xml:space="preserve"> </w:t>
      </w:r>
      <w:r w:rsidRPr="00463B5B">
        <w:t>those</w:t>
      </w:r>
      <w:r w:rsidR="00201971">
        <w:t xml:space="preserve"> </w:t>
      </w:r>
      <w:r w:rsidRPr="00463B5B">
        <w:t>with</w:t>
      </w:r>
      <w:r w:rsidR="00201971">
        <w:t xml:space="preserve"> </w:t>
      </w:r>
      <w:r w:rsidRPr="00463B5B">
        <w:t>Limited</w:t>
      </w:r>
      <w:r w:rsidR="00201971">
        <w:t xml:space="preserve"> </w:t>
      </w:r>
      <w:r w:rsidRPr="00463B5B">
        <w:t>English</w:t>
      </w:r>
      <w:r w:rsidR="00201971">
        <w:t xml:space="preserve"> </w:t>
      </w:r>
      <w:r w:rsidRPr="00463B5B">
        <w:t>Proficiency.</w:t>
      </w:r>
    </w:p>
    <w:p w14:paraId="127D8277" w14:textId="77777777" w:rsidR="00201971" w:rsidRDefault="00463B5B" w:rsidP="005E12BA">
      <w:pPr>
        <w:pStyle w:val="ListParagraph"/>
        <w:numPr>
          <w:ilvl w:val="0"/>
          <w:numId w:val="36"/>
        </w:numPr>
        <w:tabs>
          <w:tab w:val="left" w:pos="2790"/>
        </w:tabs>
      </w:pPr>
      <w:r w:rsidRPr="00463B5B">
        <w:t>Calculation</w:t>
      </w:r>
      <w:r w:rsidR="00201971">
        <w:t xml:space="preserve"> </w:t>
      </w:r>
      <w:r w:rsidRPr="00463B5B">
        <w:t>of</w:t>
      </w:r>
      <w:r w:rsidR="00201971">
        <w:t xml:space="preserve"> </w:t>
      </w:r>
      <w:r w:rsidRPr="00463B5B">
        <w:t>Client</w:t>
      </w:r>
      <w:r w:rsidR="00201971">
        <w:t xml:space="preserve"> </w:t>
      </w:r>
      <w:r w:rsidRPr="00463B5B">
        <w:t>Rent:</w:t>
      </w:r>
      <w:r w:rsidR="00201971">
        <w:t xml:space="preserve"> </w:t>
      </w:r>
      <w:r w:rsidRPr="00463B5B">
        <w:t>HUD</w:t>
      </w:r>
      <w:r w:rsidR="00201971">
        <w:t xml:space="preserve"> </w:t>
      </w:r>
      <w:r w:rsidRPr="00463B5B">
        <w:t>determines</w:t>
      </w:r>
      <w:r w:rsidR="00201971">
        <w:t xml:space="preserve"> </w:t>
      </w:r>
      <w:r w:rsidRPr="00463B5B">
        <w:t>the</w:t>
      </w:r>
      <w:r w:rsidR="00201971">
        <w:t xml:space="preserve"> </w:t>
      </w:r>
      <w:r w:rsidRPr="00463B5B">
        <w:t>amount</w:t>
      </w:r>
      <w:r w:rsidR="00201971">
        <w:t xml:space="preserve"> </w:t>
      </w:r>
      <w:r w:rsidRPr="00463B5B">
        <w:t>of</w:t>
      </w:r>
      <w:r w:rsidR="00201971">
        <w:t xml:space="preserve"> </w:t>
      </w:r>
      <w:r w:rsidRPr="00463B5B">
        <w:t>rent</w:t>
      </w:r>
      <w:r w:rsidR="00201971">
        <w:t xml:space="preserve"> </w:t>
      </w:r>
      <w:r w:rsidRPr="00463B5B">
        <w:t>that</w:t>
      </w:r>
      <w:r w:rsidR="00201971">
        <w:t xml:space="preserve"> </w:t>
      </w:r>
      <w:r w:rsidRPr="00463B5B">
        <w:t>can</w:t>
      </w:r>
      <w:r w:rsidR="00201971">
        <w:t xml:space="preserve"> </w:t>
      </w:r>
      <w:r w:rsidRPr="00463B5B">
        <w:t>be</w:t>
      </w:r>
      <w:r w:rsidR="00201971">
        <w:t xml:space="preserve"> </w:t>
      </w:r>
      <w:r w:rsidRPr="00463B5B">
        <w:t>charged</w:t>
      </w:r>
      <w:r w:rsidR="00201971">
        <w:t xml:space="preserve"> </w:t>
      </w:r>
      <w:r w:rsidRPr="00463B5B">
        <w:t>to</w:t>
      </w:r>
      <w:r w:rsidR="00201971">
        <w:t xml:space="preserve"> </w:t>
      </w:r>
      <w:r w:rsidRPr="00463B5B">
        <w:t>clients</w:t>
      </w:r>
      <w:r w:rsidR="00201971">
        <w:t xml:space="preserve">, </w:t>
      </w:r>
      <w:r w:rsidRPr="00463B5B">
        <w:t>and</w:t>
      </w:r>
      <w:r w:rsidR="00201971">
        <w:t xml:space="preserve"> </w:t>
      </w:r>
      <w:r w:rsidRPr="00463B5B">
        <w:t>recipients</w:t>
      </w:r>
      <w:r w:rsidR="00201971">
        <w:t xml:space="preserve"> </w:t>
      </w:r>
      <w:r w:rsidRPr="00463B5B">
        <w:t>must</w:t>
      </w:r>
      <w:r w:rsidR="00201971">
        <w:t xml:space="preserve"> </w:t>
      </w:r>
      <w:r w:rsidRPr="00463B5B">
        <w:t>show</w:t>
      </w:r>
      <w:r w:rsidR="00201971">
        <w:t xml:space="preserve"> </w:t>
      </w:r>
      <w:r w:rsidRPr="00463B5B">
        <w:t>documentation</w:t>
      </w:r>
      <w:r w:rsidR="00201971">
        <w:t xml:space="preserve"> </w:t>
      </w:r>
      <w:r w:rsidRPr="00463B5B">
        <w:t>of</w:t>
      </w:r>
      <w:r w:rsidR="00201971">
        <w:t xml:space="preserve"> </w:t>
      </w:r>
      <w:r w:rsidRPr="00463B5B">
        <w:t>rental</w:t>
      </w:r>
      <w:r w:rsidR="00201971">
        <w:t xml:space="preserve"> </w:t>
      </w:r>
      <w:r w:rsidRPr="00463B5B">
        <w:t>calculations.</w:t>
      </w:r>
      <w:r w:rsidR="00201971">
        <w:t xml:space="preserve"> </w:t>
      </w:r>
    </w:p>
    <w:p w14:paraId="7402B97D" w14:textId="77777777" w:rsidR="00201971" w:rsidRDefault="00463B5B" w:rsidP="005E12BA">
      <w:pPr>
        <w:pStyle w:val="ListParagraph"/>
        <w:numPr>
          <w:ilvl w:val="0"/>
          <w:numId w:val="36"/>
        </w:numPr>
        <w:tabs>
          <w:tab w:val="left" w:pos="2790"/>
        </w:tabs>
      </w:pPr>
      <w:r w:rsidRPr="00463B5B">
        <w:t>No</w:t>
      </w:r>
      <w:r w:rsidR="00201971">
        <w:t xml:space="preserve"> </w:t>
      </w:r>
      <w:r w:rsidRPr="00463B5B">
        <w:t>program</w:t>
      </w:r>
      <w:r w:rsidR="00201971">
        <w:t xml:space="preserve"> </w:t>
      </w:r>
      <w:r w:rsidRPr="00463B5B">
        <w:t>fees:</w:t>
      </w:r>
      <w:r w:rsidR="00201971">
        <w:t xml:space="preserve"> </w:t>
      </w:r>
      <w:r w:rsidRPr="00463B5B">
        <w:t>Recipients</w:t>
      </w:r>
      <w:r w:rsidR="00201971">
        <w:t xml:space="preserve"> </w:t>
      </w:r>
      <w:r w:rsidRPr="00463B5B">
        <w:t>and</w:t>
      </w:r>
      <w:r w:rsidR="00201971">
        <w:t xml:space="preserve"> </w:t>
      </w:r>
      <w:r w:rsidRPr="00463B5B">
        <w:t>subrecipients</w:t>
      </w:r>
      <w:r w:rsidR="00201971">
        <w:t xml:space="preserve"> </w:t>
      </w:r>
      <w:r w:rsidRPr="00463B5B">
        <w:t>may</w:t>
      </w:r>
      <w:r w:rsidR="00201971">
        <w:t xml:space="preserve"> </w:t>
      </w:r>
      <w:r w:rsidRPr="00463B5B">
        <w:t>not</w:t>
      </w:r>
      <w:r w:rsidR="00201971">
        <w:t xml:space="preserve"> </w:t>
      </w:r>
      <w:r w:rsidRPr="00463B5B">
        <w:t>charge</w:t>
      </w:r>
      <w:r w:rsidR="00201971">
        <w:t xml:space="preserve"> </w:t>
      </w:r>
      <w:r w:rsidRPr="00463B5B">
        <w:t>program</w:t>
      </w:r>
      <w:r w:rsidR="00201971">
        <w:t xml:space="preserve"> </w:t>
      </w:r>
      <w:r w:rsidRPr="00463B5B">
        <w:t>participants</w:t>
      </w:r>
      <w:r w:rsidR="00201971">
        <w:t xml:space="preserve"> </w:t>
      </w:r>
      <w:r w:rsidRPr="00463B5B">
        <w:t>program</w:t>
      </w:r>
      <w:r w:rsidR="00201971">
        <w:t xml:space="preserve"> </w:t>
      </w:r>
      <w:r w:rsidRPr="00463B5B">
        <w:t>fees.</w:t>
      </w:r>
    </w:p>
    <w:p w14:paraId="2792DB56" w14:textId="77777777" w:rsidR="00201971" w:rsidRDefault="00463B5B" w:rsidP="005E12BA">
      <w:pPr>
        <w:pStyle w:val="ListParagraph"/>
        <w:numPr>
          <w:ilvl w:val="0"/>
          <w:numId w:val="36"/>
        </w:numPr>
        <w:tabs>
          <w:tab w:val="left" w:pos="2790"/>
        </w:tabs>
      </w:pPr>
      <w:r w:rsidRPr="00463B5B">
        <w:t>Policies:</w:t>
      </w:r>
      <w:r w:rsidR="00201971">
        <w:t xml:space="preserve"> </w:t>
      </w:r>
      <w:r w:rsidRPr="00463B5B">
        <w:t>All</w:t>
      </w:r>
      <w:r w:rsidR="00201971">
        <w:t xml:space="preserve"> </w:t>
      </w:r>
      <w:r w:rsidRPr="00463B5B">
        <w:t>CoC</w:t>
      </w:r>
      <w:r w:rsidR="00201971">
        <w:t xml:space="preserve"> </w:t>
      </w:r>
      <w:r w:rsidRPr="00463B5B">
        <w:t>recipients</w:t>
      </w:r>
      <w:r w:rsidR="00201971">
        <w:t xml:space="preserve"> </w:t>
      </w:r>
      <w:r w:rsidRPr="00463B5B">
        <w:t>are</w:t>
      </w:r>
      <w:r w:rsidR="00201971">
        <w:t xml:space="preserve"> </w:t>
      </w:r>
      <w:r w:rsidRPr="00463B5B">
        <w:t>required</w:t>
      </w:r>
      <w:r w:rsidR="00201971">
        <w:t xml:space="preserve"> </w:t>
      </w:r>
      <w:r w:rsidRPr="00463B5B">
        <w:t>to</w:t>
      </w:r>
      <w:r w:rsidR="00201971">
        <w:t xml:space="preserve"> </w:t>
      </w:r>
      <w:r w:rsidRPr="00463B5B">
        <w:t>institute</w:t>
      </w:r>
      <w:r w:rsidR="00201971">
        <w:t xml:space="preserve"> </w:t>
      </w:r>
      <w:r w:rsidRPr="00463B5B">
        <w:t>certain</w:t>
      </w:r>
      <w:r w:rsidR="00201971">
        <w:t xml:space="preserve"> </w:t>
      </w:r>
      <w:r w:rsidRPr="00463B5B">
        <w:t>policies</w:t>
      </w:r>
      <w:r w:rsidR="00201971">
        <w:t xml:space="preserve"> </w:t>
      </w:r>
      <w:proofErr w:type="gramStart"/>
      <w:r w:rsidRPr="00463B5B">
        <w:t>including:</w:t>
      </w:r>
      <w:proofErr w:type="gramEnd"/>
      <w:r w:rsidR="00201971">
        <w:t xml:space="preserve"> </w:t>
      </w:r>
      <w:r w:rsidRPr="00463B5B">
        <w:t>participant</w:t>
      </w:r>
      <w:r w:rsidR="00201971">
        <w:t xml:space="preserve"> </w:t>
      </w:r>
      <w:r w:rsidRPr="00463B5B">
        <w:t>participation,</w:t>
      </w:r>
      <w:r w:rsidR="00201971">
        <w:t xml:space="preserve"> </w:t>
      </w:r>
      <w:r w:rsidRPr="00463B5B">
        <w:t>grievance</w:t>
      </w:r>
      <w:r w:rsidR="00201971">
        <w:t xml:space="preserve"> </w:t>
      </w:r>
      <w:r w:rsidRPr="00463B5B">
        <w:t>procedures,</w:t>
      </w:r>
      <w:r w:rsidR="00201971">
        <w:t xml:space="preserve"> </w:t>
      </w:r>
      <w:r w:rsidRPr="00463B5B">
        <w:t>due</w:t>
      </w:r>
      <w:r w:rsidR="00201971">
        <w:t xml:space="preserve"> </w:t>
      </w:r>
      <w:r w:rsidRPr="00463B5B">
        <w:t>process</w:t>
      </w:r>
      <w:r w:rsidR="00201971">
        <w:t xml:space="preserve"> </w:t>
      </w:r>
      <w:r w:rsidRPr="00463B5B">
        <w:t>for</w:t>
      </w:r>
      <w:r w:rsidR="00201971">
        <w:t xml:space="preserve"> </w:t>
      </w:r>
      <w:r w:rsidRPr="00463B5B">
        <w:t>participant</w:t>
      </w:r>
      <w:r w:rsidR="00201971">
        <w:t xml:space="preserve"> </w:t>
      </w:r>
      <w:r w:rsidRPr="00463B5B">
        <w:t>termination,</w:t>
      </w:r>
      <w:r w:rsidR="00201971">
        <w:t xml:space="preserve"> </w:t>
      </w:r>
      <w:r w:rsidRPr="00463B5B">
        <w:t>staff</w:t>
      </w:r>
      <w:r w:rsidR="00201971">
        <w:t xml:space="preserve"> </w:t>
      </w:r>
      <w:r w:rsidRPr="00463B5B">
        <w:t>rules,</w:t>
      </w:r>
      <w:r w:rsidR="00201971">
        <w:t xml:space="preserve"> </w:t>
      </w:r>
      <w:r w:rsidRPr="00463B5B">
        <w:t>emergency</w:t>
      </w:r>
      <w:r w:rsidR="00201971">
        <w:t xml:space="preserve"> </w:t>
      </w:r>
      <w:r w:rsidRPr="00463B5B">
        <w:t>safety</w:t>
      </w:r>
      <w:r w:rsidR="00201971">
        <w:t xml:space="preserve"> </w:t>
      </w:r>
      <w:r w:rsidRPr="00463B5B">
        <w:t>and</w:t>
      </w:r>
      <w:r w:rsidR="00201971">
        <w:t xml:space="preserve"> </w:t>
      </w:r>
      <w:r w:rsidRPr="00463B5B">
        <w:t>evacuation</w:t>
      </w:r>
      <w:r w:rsidR="00201971">
        <w:t xml:space="preserve"> </w:t>
      </w:r>
      <w:r w:rsidRPr="00463B5B">
        <w:t>procedures,</w:t>
      </w:r>
      <w:r w:rsidR="00201971">
        <w:t xml:space="preserve"> </w:t>
      </w:r>
      <w:r w:rsidRPr="00463B5B">
        <w:t>confidentiality</w:t>
      </w:r>
      <w:r w:rsidR="00201971">
        <w:t xml:space="preserve"> </w:t>
      </w:r>
      <w:r w:rsidRPr="00463B5B">
        <w:t>restrictions,</w:t>
      </w:r>
      <w:r w:rsidR="00201971">
        <w:t xml:space="preserve"> </w:t>
      </w:r>
      <w:r w:rsidRPr="00463B5B">
        <w:t>non-discrimination,</w:t>
      </w:r>
      <w:r w:rsidR="00201971">
        <w:t xml:space="preserve"> </w:t>
      </w:r>
      <w:r w:rsidRPr="00463B5B">
        <w:t>free</w:t>
      </w:r>
      <w:r w:rsidR="00201971">
        <w:t xml:space="preserve"> </w:t>
      </w:r>
      <w:r w:rsidRPr="00463B5B">
        <w:t>from</w:t>
      </w:r>
      <w:r w:rsidR="00201971">
        <w:t xml:space="preserve"> </w:t>
      </w:r>
      <w:r w:rsidRPr="00463B5B">
        <w:t>religious</w:t>
      </w:r>
      <w:r w:rsidR="00201971">
        <w:t xml:space="preserve"> </w:t>
      </w:r>
      <w:r w:rsidRPr="00463B5B">
        <w:t>influences,</w:t>
      </w:r>
      <w:r w:rsidR="00201971">
        <w:t xml:space="preserve"> </w:t>
      </w:r>
      <w:r w:rsidRPr="00463B5B">
        <w:t>conflict</w:t>
      </w:r>
      <w:r w:rsidR="00201971">
        <w:t xml:space="preserve"> </w:t>
      </w:r>
      <w:r w:rsidRPr="00463B5B">
        <w:t>of</w:t>
      </w:r>
      <w:r w:rsidR="00201971">
        <w:t xml:space="preserve"> </w:t>
      </w:r>
      <w:r w:rsidRPr="00463B5B">
        <w:t>interest,</w:t>
      </w:r>
      <w:r w:rsidR="00201971">
        <w:t xml:space="preserve"> </w:t>
      </w:r>
      <w:r w:rsidRPr="00463B5B">
        <w:t>anti-lobbying,</w:t>
      </w:r>
      <w:r w:rsidR="00201971">
        <w:t xml:space="preserve"> </w:t>
      </w:r>
      <w:r w:rsidRPr="00463B5B">
        <w:t>drug-free</w:t>
      </w:r>
      <w:r w:rsidR="00201971">
        <w:t xml:space="preserve"> </w:t>
      </w:r>
      <w:r w:rsidRPr="00463B5B">
        <w:t>workplace,</w:t>
      </w:r>
      <w:r w:rsidR="00201971">
        <w:t xml:space="preserve"> </w:t>
      </w:r>
      <w:r w:rsidRPr="00463B5B">
        <w:t>etc.</w:t>
      </w:r>
    </w:p>
    <w:p w14:paraId="47F52D83" w14:textId="77777777" w:rsidR="00201971" w:rsidRDefault="00463B5B" w:rsidP="005E12BA">
      <w:pPr>
        <w:pStyle w:val="ListParagraph"/>
        <w:numPr>
          <w:ilvl w:val="0"/>
          <w:numId w:val="36"/>
        </w:numPr>
        <w:tabs>
          <w:tab w:val="left" w:pos="2790"/>
        </w:tabs>
      </w:pPr>
      <w:r w:rsidRPr="00463B5B">
        <w:t>State</w:t>
      </w:r>
      <w:r w:rsidR="00201971">
        <w:t xml:space="preserve"> </w:t>
      </w:r>
      <w:r w:rsidRPr="00463B5B">
        <w:t>and</w:t>
      </w:r>
      <w:r w:rsidR="00201971">
        <w:t xml:space="preserve"> </w:t>
      </w:r>
      <w:r w:rsidRPr="00463B5B">
        <w:t>Local</w:t>
      </w:r>
      <w:r w:rsidR="00201971">
        <w:t xml:space="preserve"> </w:t>
      </w:r>
      <w:r w:rsidRPr="00463B5B">
        <w:t>Requirements:</w:t>
      </w:r>
      <w:r w:rsidR="00201971">
        <w:t xml:space="preserve"> </w:t>
      </w:r>
      <w:r w:rsidRPr="00463B5B">
        <w:t>Services</w:t>
      </w:r>
      <w:r w:rsidR="00201971">
        <w:t xml:space="preserve"> </w:t>
      </w:r>
      <w:r w:rsidRPr="00463B5B">
        <w:t>provided</w:t>
      </w:r>
      <w:r w:rsidR="00201971">
        <w:t xml:space="preserve"> </w:t>
      </w:r>
      <w:r w:rsidRPr="00463B5B">
        <w:t>with</w:t>
      </w:r>
      <w:r w:rsidR="00201971">
        <w:t xml:space="preserve"> </w:t>
      </w:r>
      <w:r w:rsidRPr="00463B5B">
        <w:t>CoC</w:t>
      </w:r>
      <w:r w:rsidR="00201971">
        <w:t xml:space="preserve"> </w:t>
      </w:r>
      <w:r w:rsidRPr="00463B5B">
        <w:t>program</w:t>
      </w:r>
      <w:r w:rsidR="00201971">
        <w:t xml:space="preserve"> </w:t>
      </w:r>
      <w:r w:rsidRPr="00463B5B">
        <w:t>funds</w:t>
      </w:r>
      <w:r w:rsidR="00201971">
        <w:t xml:space="preserve"> </w:t>
      </w:r>
      <w:r w:rsidRPr="00463B5B">
        <w:t>must</w:t>
      </w:r>
      <w:r w:rsidR="00201971">
        <w:t xml:space="preserve"> </w:t>
      </w:r>
      <w:proofErr w:type="gramStart"/>
      <w:r w:rsidRPr="00463B5B">
        <w:t>be</w:t>
      </w:r>
      <w:r w:rsidR="00201971">
        <w:t xml:space="preserve"> </w:t>
      </w:r>
      <w:r w:rsidRPr="00463B5B">
        <w:t>in</w:t>
      </w:r>
      <w:r w:rsidR="00201971">
        <w:t xml:space="preserve"> </w:t>
      </w:r>
      <w:r w:rsidRPr="00463B5B">
        <w:t>compliance</w:t>
      </w:r>
      <w:r w:rsidR="00201971">
        <w:t xml:space="preserve"> </w:t>
      </w:r>
      <w:r w:rsidRPr="00463B5B">
        <w:t>with</w:t>
      </w:r>
      <w:proofErr w:type="gramEnd"/>
      <w:r w:rsidR="00201971">
        <w:t xml:space="preserve"> </w:t>
      </w:r>
      <w:r w:rsidRPr="00463B5B">
        <w:t>all</w:t>
      </w:r>
      <w:r w:rsidR="00201971">
        <w:t xml:space="preserve"> </w:t>
      </w:r>
      <w:r w:rsidRPr="00463B5B">
        <w:t>applicable</w:t>
      </w:r>
      <w:r w:rsidR="00201971">
        <w:t xml:space="preserve"> </w:t>
      </w:r>
      <w:r w:rsidRPr="00463B5B">
        <w:t>State</w:t>
      </w:r>
      <w:r w:rsidR="00201971">
        <w:t xml:space="preserve"> </w:t>
      </w:r>
      <w:r w:rsidRPr="00463B5B">
        <w:t>and</w:t>
      </w:r>
      <w:r w:rsidR="00201971">
        <w:t xml:space="preserve"> </w:t>
      </w:r>
      <w:r w:rsidRPr="00463B5B">
        <w:t>local</w:t>
      </w:r>
      <w:r w:rsidR="00201971">
        <w:t xml:space="preserve"> </w:t>
      </w:r>
      <w:r w:rsidRPr="00463B5B">
        <w:t>requirements,</w:t>
      </w:r>
      <w:r w:rsidR="00201971">
        <w:t xml:space="preserve"> </w:t>
      </w:r>
      <w:r w:rsidRPr="00463B5B">
        <w:t>including</w:t>
      </w:r>
      <w:r w:rsidR="00201971">
        <w:t xml:space="preserve"> </w:t>
      </w:r>
      <w:r w:rsidRPr="00463B5B">
        <w:t>licensing</w:t>
      </w:r>
      <w:r w:rsidR="00201971">
        <w:t xml:space="preserve"> </w:t>
      </w:r>
      <w:r w:rsidRPr="00463B5B">
        <w:t>requirements.</w:t>
      </w:r>
    </w:p>
    <w:p w14:paraId="23DFC811" w14:textId="77777777" w:rsidR="005C5B32" w:rsidRDefault="00463B5B" w:rsidP="005E12BA">
      <w:pPr>
        <w:pStyle w:val="ListParagraph"/>
        <w:numPr>
          <w:ilvl w:val="0"/>
          <w:numId w:val="36"/>
        </w:numPr>
        <w:tabs>
          <w:tab w:val="left" w:pos="2790"/>
        </w:tabs>
      </w:pPr>
      <w:r w:rsidRPr="00463B5B">
        <w:t>Mainstream</w:t>
      </w:r>
      <w:r w:rsidR="00201971">
        <w:t xml:space="preserve"> </w:t>
      </w:r>
      <w:r w:rsidRPr="00463B5B">
        <w:t>Resources:</w:t>
      </w:r>
      <w:r w:rsidR="00201971">
        <w:t xml:space="preserve"> </w:t>
      </w:r>
      <w:r w:rsidRPr="00463B5B">
        <w:t>You</w:t>
      </w:r>
      <w:r w:rsidR="00201971">
        <w:t xml:space="preserve"> </w:t>
      </w:r>
      <w:r w:rsidRPr="00463B5B">
        <w:t>must</w:t>
      </w:r>
      <w:r w:rsidR="00201971">
        <w:t xml:space="preserve"> </w:t>
      </w:r>
      <w:r w:rsidRPr="00463B5B">
        <w:t>coordinate</w:t>
      </w:r>
      <w:r w:rsidR="00201971">
        <w:t xml:space="preserve"> </w:t>
      </w:r>
      <w:r w:rsidRPr="00463B5B">
        <w:t>and</w:t>
      </w:r>
      <w:r w:rsidR="00201971">
        <w:t xml:space="preserve"> </w:t>
      </w:r>
      <w:r w:rsidRPr="00463B5B">
        <w:t>integrate</w:t>
      </w:r>
      <w:r w:rsidR="00201971">
        <w:t xml:space="preserve"> </w:t>
      </w:r>
      <w:r w:rsidRPr="00463B5B">
        <w:t>your</w:t>
      </w:r>
      <w:r w:rsidR="00201971">
        <w:t xml:space="preserve"> </w:t>
      </w:r>
      <w:r w:rsidRPr="00463B5B">
        <w:t>program</w:t>
      </w:r>
      <w:r w:rsidR="00201971">
        <w:t xml:space="preserve"> </w:t>
      </w:r>
      <w:r w:rsidRPr="00463B5B">
        <w:t>with</w:t>
      </w:r>
      <w:r w:rsidR="00201971">
        <w:t xml:space="preserve"> </w:t>
      </w:r>
      <w:r w:rsidRPr="00463B5B">
        <w:t>other</w:t>
      </w:r>
      <w:r w:rsidR="00201971">
        <w:t xml:space="preserve"> </w:t>
      </w:r>
      <w:r w:rsidRPr="00463B5B">
        <w:t>mainstream</w:t>
      </w:r>
      <w:r w:rsidR="00201971">
        <w:t xml:space="preserve"> </w:t>
      </w:r>
      <w:r w:rsidRPr="00463B5B">
        <w:t>health,</w:t>
      </w:r>
      <w:r w:rsidR="00201971">
        <w:t xml:space="preserve"> </w:t>
      </w:r>
      <w:r w:rsidRPr="00463B5B">
        <w:t>social</w:t>
      </w:r>
      <w:r w:rsidR="00201971">
        <w:t xml:space="preserve"> </w:t>
      </w:r>
      <w:r w:rsidRPr="00463B5B">
        <w:t>services,</w:t>
      </w:r>
      <w:r w:rsidR="00201971">
        <w:t xml:space="preserve"> </w:t>
      </w:r>
      <w:r w:rsidRPr="00463B5B">
        <w:t>and</w:t>
      </w:r>
      <w:r w:rsidR="00201971">
        <w:t xml:space="preserve"> </w:t>
      </w:r>
      <w:r w:rsidRPr="00463B5B">
        <w:t>employment</w:t>
      </w:r>
      <w:r w:rsidR="00201971">
        <w:t xml:space="preserve"> </w:t>
      </w:r>
      <w:r w:rsidRPr="00463B5B">
        <w:t>programs</w:t>
      </w:r>
      <w:r w:rsidR="00201971">
        <w:t xml:space="preserve"> </w:t>
      </w:r>
      <w:r w:rsidRPr="00463B5B">
        <w:t>for</w:t>
      </w:r>
      <w:r w:rsidR="00201971">
        <w:t xml:space="preserve"> </w:t>
      </w:r>
      <w:r w:rsidRPr="00463B5B">
        <w:t>which</w:t>
      </w:r>
      <w:r w:rsidR="00201971">
        <w:t xml:space="preserve"> </w:t>
      </w:r>
      <w:r w:rsidRPr="00463B5B">
        <w:t>your</w:t>
      </w:r>
      <w:r w:rsidR="00201971">
        <w:t xml:space="preserve"> </w:t>
      </w:r>
      <w:r w:rsidRPr="00463B5B">
        <w:t>clients</w:t>
      </w:r>
      <w:r w:rsidR="00201971">
        <w:t xml:space="preserve"> </w:t>
      </w:r>
      <w:r w:rsidRPr="00463B5B">
        <w:t>may</w:t>
      </w:r>
      <w:r w:rsidR="005C5B32">
        <w:t xml:space="preserve"> </w:t>
      </w:r>
      <w:r w:rsidRPr="00463B5B">
        <w:t>be</w:t>
      </w:r>
      <w:r w:rsidR="005C5B32">
        <w:t xml:space="preserve"> </w:t>
      </w:r>
      <w:r w:rsidRPr="00463B5B">
        <w:t>eligible</w:t>
      </w:r>
    </w:p>
    <w:p w14:paraId="5B0B06F8" w14:textId="77777777" w:rsidR="005C5B32" w:rsidRDefault="00463B5B" w:rsidP="005E12BA">
      <w:pPr>
        <w:pStyle w:val="ListParagraph"/>
        <w:numPr>
          <w:ilvl w:val="0"/>
          <w:numId w:val="36"/>
        </w:numPr>
        <w:tabs>
          <w:tab w:val="left" w:pos="2790"/>
        </w:tabs>
      </w:pPr>
      <w:r w:rsidRPr="00463B5B">
        <w:t>Prevention</w:t>
      </w:r>
      <w:r w:rsidR="005C5B32">
        <w:t xml:space="preserve"> </w:t>
      </w:r>
      <w:r w:rsidRPr="00463B5B">
        <w:t>and</w:t>
      </w:r>
      <w:r w:rsidR="005C5B32">
        <w:t xml:space="preserve"> </w:t>
      </w:r>
      <w:r w:rsidRPr="00463B5B">
        <w:t>Discharge</w:t>
      </w:r>
      <w:r w:rsidR="005C5B32">
        <w:t xml:space="preserve"> </w:t>
      </w:r>
      <w:r w:rsidRPr="00463B5B">
        <w:t>Planning:</w:t>
      </w:r>
      <w:r w:rsidR="005C5B32">
        <w:t xml:space="preserve"> </w:t>
      </w:r>
      <w:r w:rsidRPr="00463B5B">
        <w:t>Any</w:t>
      </w:r>
      <w:r w:rsidR="005C5B32">
        <w:t xml:space="preserve"> </w:t>
      </w:r>
      <w:r w:rsidRPr="00463B5B">
        <w:t>governmental</w:t>
      </w:r>
      <w:r w:rsidR="005C5B32">
        <w:t xml:space="preserve"> </w:t>
      </w:r>
      <w:r w:rsidRPr="00463B5B">
        <w:t>entity</w:t>
      </w:r>
      <w:r w:rsidR="005C5B32">
        <w:t xml:space="preserve"> </w:t>
      </w:r>
      <w:r w:rsidRPr="00463B5B">
        <w:t>serving</w:t>
      </w:r>
      <w:r w:rsidR="005C5B32">
        <w:t xml:space="preserve"> </w:t>
      </w:r>
      <w:r w:rsidRPr="00463B5B">
        <w:t>as</w:t>
      </w:r>
      <w:r w:rsidR="005C5B32">
        <w:t xml:space="preserve"> </w:t>
      </w:r>
      <w:r w:rsidRPr="00463B5B">
        <w:t>an</w:t>
      </w:r>
      <w:r w:rsidR="005C5B32">
        <w:t xml:space="preserve"> </w:t>
      </w:r>
      <w:r w:rsidRPr="00463B5B">
        <w:t>applicant</w:t>
      </w:r>
      <w:r w:rsidR="005C5B32">
        <w:t xml:space="preserve"> </w:t>
      </w:r>
      <w:r w:rsidRPr="00463B5B">
        <w:t>must</w:t>
      </w:r>
      <w:r w:rsidR="005C5B32">
        <w:t xml:space="preserve"> </w:t>
      </w:r>
      <w:r w:rsidRPr="00463B5B">
        <w:t>agree</w:t>
      </w:r>
      <w:r w:rsidR="005C5B32">
        <w:t xml:space="preserve"> </w:t>
      </w:r>
      <w:r w:rsidRPr="00463B5B">
        <w:t>to</w:t>
      </w:r>
      <w:r w:rsidR="005C5B32">
        <w:t xml:space="preserve"> </w:t>
      </w:r>
      <w:r w:rsidRPr="00463B5B">
        <w:t>develop</w:t>
      </w:r>
      <w:r w:rsidR="005C5B32">
        <w:t xml:space="preserve"> </w:t>
      </w:r>
      <w:r w:rsidRPr="00463B5B">
        <w:t>and</w:t>
      </w:r>
      <w:r w:rsidR="005C5B32">
        <w:t xml:space="preserve"> </w:t>
      </w:r>
      <w:r w:rsidRPr="00463B5B">
        <w:t>implement</w:t>
      </w:r>
      <w:r w:rsidR="005C5B32">
        <w:t xml:space="preserve"> </w:t>
      </w:r>
      <w:r w:rsidRPr="00463B5B">
        <w:t>to</w:t>
      </w:r>
      <w:r w:rsidR="005C5B32">
        <w:t xml:space="preserve"> </w:t>
      </w:r>
      <w:r w:rsidRPr="00463B5B">
        <w:t>the</w:t>
      </w:r>
      <w:r w:rsidR="005C5B32">
        <w:t xml:space="preserve"> </w:t>
      </w:r>
      <w:r w:rsidRPr="00463B5B">
        <w:t>maximum</w:t>
      </w:r>
      <w:r w:rsidR="005C5B32">
        <w:t xml:space="preserve"> </w:t>
      </w:r>
      <w:r w:rsidRPr="00463B5B">
        <w:t>extent</w:t>
      </w:r>
      <w:r w:rsidR="005C5B32">
        <w:t xml:space="preserve"> </w:t>
      </w:r>
      <w:r w:rsidRPr="00463B5B">
        <w:t>practical</w:t>
      </w:r>
      <w:r w:rsidR="005C5B32">
        <w:t xml:space="preserve"> </w:t>
      </w:r>
      <w:r w:rsidRPr="00463B5B">
        <w:t>and</w:t>
      </w:r>
      <w:r w:rsidR="005C5B32">
        <w:t xml:space="preserve"> </w:t>
      </w:r>
      <w:r w:rsidRPr="00463B5B">
        <w:t>where</w:t>
      </w:r>
      <w:r w:rsidR="005C5B32">
        <w:t xml:space="preserve"> </w:t>
      </w:r>
      <w:r w:rsidRPr="00463B5B">
        <w:t>appropriate,</w:t>
      </w:r>
      <w:r w:rsidR="005C5B32">
        <w:t xml:space="preserve"> </w:t>
      </w:r>
      <w:r w:rsidRPr="00463B5B">
        <w:t>policies</w:t>
      </w:r>
      <w:r w:rsidR="005C5B32">
        <w:t xml:space="preserve"> </w:t>
      </w:r>
      <w:r w:rsidRPr="00463B5B">
        <w:t>and</w:t>
      </w:r>
      <w:r w:rsidR="005C5B32">
        <w:t xml:space="preserve"> </w:t>
      </w:r>
      <w:r w:rsidRPr="00463B5B">
        <w:t>protocols</w:t>
      </w:r>
      <w:r w:rsidR="005C5B32">
        <w:t xml:space="preserve"> </w:t>
      </w:r>
      <w:r w:rsidRPr="00463B5B">
        <w:t>for</w:t>
      </w:r>
      <w:r w:rsidR="005C5B32">
        <w:t xml:space="preserve"> </w:t>
      </w:r>
      <w:r w:rsidRPr="00463B5B">
        <w:t>the</w:t>
      </w:r>
      <w:r w:rsidR="005C5B32">
        <w:t xml:space="preserve"> </w:t>
      </w:r>
      <w:r w:rsidRPr="00463B5B">
        <w:t>discharge</w:t>
      </w:r>
      <w:r w:rsidR="005C5B32">
        <w:t xml:space="preserve"> </w:t>
      </w:r>
      <w:r w:rsidRPr="00463B5B">
        <w:t>of</w:t>
      </w:r>
      <w:r w:rsidR="005C5B32">
        <w:t xml:space="preserve"> </w:t>
      </w:r>
      <w:r w:rsidRPr="00463B5B">
        <w:t>persons</w:t>
      </w:r>
      <w:r w:rsidR="005C5B32">
        <w:t xml:space="preserve"> </w:t>
      </w:r>
      <w:r w:rsidRPr="00463B5B">
        <w:t>from</w:t>
      </w:r>
      <w:r w:rsidR="005C5B32">
        <w:t xml:space="preserve"> </w:t>
      </w:r>
      <w:r w:rsidRPr="00463B5B">
        <w:t>publicly</w:t>
      </w:r>
      <w:r w:rsidR="005C5B32">
        <w:t xml:space="preserve"> </w:t>
      </w:r>
      <w:r w:rsidRPr="00463B5B">
        <w:t>funded</w:t>
      </w:r>
      <w:r w:rsidR="005C5B32">
        <w:t xml:space="preserve"> </w:t>
      </w:r>
      <w:r w:rsidRPr="00463B5B">
        <w:t>institutions</w:t>
      </w:r>
      <w:r w:rsidR="005C5B32">
        <w:t xml:space="preserve"> </w:t>
      </w:r>
      <w:r w:rsidRPr="00463B5B">
        <w:t>or</w:t>
      </w:r>
      <w:r w:rsidR="005C5B32">
        <w:t xml:space="preserve"> </w:t>
      </w:r>
      <w:r w:rsidRPr="00463B5B">
        <w:t>systems</w:t>
      </w:r>
      <w:r w:rsidR="005C5B32">
        <w:t xml:space="preserve"> </w:t>
      </w:r>
      <w:r w:rsidRPr="00463B5B">
        <w:t>of</w:t>
      </w:r>
      <w:r w:rsidR="005C5B32">
        <w:t xml:space="preserve"> </w:t>
      </w:r>
      <w:r w:rsidRPr="00463B5B">
        <w:t>care</w:t>
      </w:r>
      <w:r w:rsidR="005C5B32">
        <w:t xml:space="preserve"> </w:t>
      </w:r>
      <w:r w:rsidRPr="00463B5B">
        <w:t>(such</w:t>
      </w:r>
      <w:r w:rsidR="005C5B32">
        <w:t xml:space="preserve"> </w:t>
      </w:r>
      <w:r w:rsidRPr="00463B5B">
        <w:t>as</w:t>
      </w:r>
      <w:r w:rsidR="005C5B32">
        <w:t xml:space="preserve"> </w:t>
      </w:r>
      <w:r w:rsidRPr="00463B5B">
        <w:t>health</w:t>
      </w:r>
      <w:r w:rsidRPr="00463B5B">
        <w:tab/>
        <w:t>care</w:t>
      </w:r>
      <w:r w:rsidR="005C5B32">
        <w:t xml:space="preserve"> </w:t>
      </w:r>
      <w:r w:rsidRPr="00463B5B">
        <w:t>facilities,</w:t>
      </w:r>
      <w:r w:rsidR="005C5B32">
        <w:t xml:space="preserve"> </w:t>
      </w:r>
      <w:r w:rsidRPr="00463B5B">
        <w:t>foster</w:t>
      </w:r>
      <w:r w:rsidR="005C5B32">
        <w:t xml:space="preserve"> </w:t>
      </w:r>
      <w:r w:rsidRPr="00463B5B">
        <w:t>care</w:t>
      </w:r>
      <w:r w:rsidR="005C5B32">
        <w:t xml:space="preserve"> </w:t>
      </w:r>
      <w:r w:rsidRPr="00463B5B">
        <w:t>other</w:t>
      </w:r>
      <w:r w:rsidR="005C5B32">
        <w:t xml:space="preserve"> </w:t>
      </w:r>
      <w:r w:rsidRPr="00463B5B">
        <w:t>youth</w:t>
      </w:r>
      <w:r w:rsidR="005C5B32">
        <w:t xml:space="preserve"> </w:t>
      </w:r>
      <w:r w:rsidRPr="00463B5B">
        <w:t>facilities,</w:t>
      </w:r>
      <w:r w:rsidR="005C5B32">
        <w:t xml:space="preserve"> </w:t>
      </w:r>
      <w:r w:rsidRPr="00463B5B">
        <w:t>or</w:t>
      </w:r>
      <w:r w:rsidR="005C5B32">
        <w:t xml:space="preserve"> </w:t>
      </w:r>
      <w:r w:rsidRPr="00463B5B">
        <w:t>corrections</w:t>
      </w:r>
      <w:r w:rsidR="005C5B32">
        <w:t xml:space="preserve"> </w:t>
      </w:r>
      <w:r w:rsidRPr="00463B5B">
        <w:t>programs</w:t>
      </w:r>
      <w:r w:rsidR="005C5B32">
        <w:t xml:space="preserve"> </w:t>
      </w:r>
      <w:r w:rsidRPr="00463B5B">
        <w:t>and</w:t>
      </w:r>
      <w:r w:rsidR="005C5B32">
        <w:t xml:space="preserve"> </w:t>
      </w:r>
      <w:r w:rsidRPr="00463B5B">
        <w:t>institutions)</w:t>
      </w:r>
      <w:r w:rsidR="005C5B32">
        <w:t xml:space="preserve"> </w:t>
      </w:r>
      <w:proofErr w:type="gramStart"/>
      <w:r w:rsidRPr="00463B5B">
        <w:t>in</w:t>
      </w:r>
      <w:r w:rsidR="005C5B32">
        <w:t xml:space="preserve"> </w:t>
      </w:r>
      <w:r w:rsidRPr="00463B5B">
        <w:t>order</w:t>
      </w:r>
      <w:r w:rsidR="005C5B32">
        <w:t xml:space="preserve"> </w:t>
      </w:r>
      <w:r w:rsidRPr="00463B5B">
        <w:t>to</w:t>
      </w:r>
      <w:proofErr w:type="gramEnd"/>
      <w:r w:rsidR="005C5B32">
        <w:t xml:space="preserve"> </w:t>
      </w:r>
      <w:r w:rsidRPr="00463B5B">
        <w:t>prevent</w:t>
      </w:r>
      <w:r w:rsidR="005C5B32">
        <w:t xml:space="preserve"> </w:t>
      </w:r>
      <w:r w:rsidRPr="00463B5B">
        <w:t>such</w:t>
      </w:r>
      <w:r w:rsidR="005C5B32">
        <w:t xml:space="preserve"> </w:t>
      </w:r>
      <w:r w:rsidRPr="00463B5B">
        <w:t>discharge</w:t>
      </w:r>
      <w:r w:rsidR="005C5B32">
        <w:t xml:space="preserve"> </w:t>
      </w:r>
      <w:r w:rsidRPr="00463B5B">
        <w:t>from</w:t>
      </w:r>
      <w:r w:rsidR="005C5B32">
        <w:t xml:space="preserve"> </w:t>
      </w:r>
      <w:r w:rsidRPr="00463B5B">
        <w:t>immediately</w:t>
      </w:r>
      <w:r w:rsidR="005C5B32">
        <w:t xml:space="preserve"> </w:t>
      </w:r>
      <w:r w:rsidRPr="00463B5B">
        <w:t>resulting</w:t>
      </w:r>
      <w:r w:rsidR="005C5B32">
        <w:t xml:space="preserve"> </w:t>
      </w:r>
      <w:r w:rsidRPr="00463B5B">
        <w:t>in</w:t>
      </w:r>
      <w:r w:rsidR="005C5B32">
        <w:t xml:space="preserve"> </w:t>
      </w:r>
      <w:r w:rsidRPr="00463B5B">
        <w:t>such</w:t>
      </w:r>
      <w:r w:rsidR="005C5B32">
        <w:t xml:space="preserve"> </w:t>
      </w:r>
      <w:r w:rsidRPr="00463B5B">
        <w:t>persons</w:t>
      </w:r>
      <w:r w:rsidR="005C5B32">
        <w:t xml:space="preserve"> </w:t>
      </w:r>
      <w:r w:rsidRPr="00463B5B">
        <w:t>entering</w:t>
      </w:r>
      <w:r w:rsidR="005C5B32">
        <w:t xml:space="preserve"> </w:t>
      </w:r>
      <w:r w:rsidRPr="00463B5B">
        <w:t>the</w:t>
      </w:r>
      <w:r w:rsidR="005C5B32">
        <w:t xml:space="preserve"> </w:t>
      </w:r>
      <w:r w:rsidRPr="00463B5B">
        <w:t>homeless</w:t>
      </w:r>
      <w:r w:rsidR="005C5B32">
        <w:t xml:space="preserve"> </w:t>
      </w:r>
      <w:r w:rsidRPr="00463B5B">
        <w:t>system.</w:t>
      </w:r>
    </w:p>
    <w:p w14:paraId="51174D48" w14:textId="77777777" w:rsidR="005C5B32" w:rsidRDefault="00463B5B" w:rsidP="005E12BA">
      <w:pPr>
        <w:pStyle w:val="ListParagraph"/>
        <w:numPr>
          <w:ilvl w:val="0"/>
          <w:numId w:val="36"/>
        </w:numPr>
        <w:tabs>
          <w:tab w:val="left" w:pos="2790"/>
        </w:tabs>
      </w:pPr>
      <w:r w:rsidRPr="00463B5B">
        <w:t>Coordination</w:t>
      </w:r>
      <w:r w:rsidR="005C5B32">
        <w:t xml:space="preserve"> </w:t>
      </w:r>
      <w:r w:rsidRPr="00463B5B">
        <w:t>with</w:t>
      </w:r>
      <w:r w:rsidR="005C5B32">
        <w:t xml:space="preserve"> </w:t>
      </w:r>
      <w:r w:rsidRPr="00463B5B">
        <w:t>Educational</w:t>
      </w:r>
      <w:r w:rsidR="005C5B32">
        <w:t xml:space="preserve"> </w:t>
      </w:r>
      <w:r w:rsidRPr="00463B5B">
        <w:t>Agencies:</w:t>
      </w:r>
      <w:r w:rsidR="005C5B32">
        <w:t xml:space="preserve"> </w:t>
      </w:r>
      <w:r w:rsidRPr="00463B5B">
        <w:t>Any</w:t>
      </w:r>
      <w:r w:rsidR="005C5B32">
        <w:t xml:space="preserve"> </w:t>
      </w:r>
      <w:r w:rsidRPr="00463B5B">
        <w:t>program</w:t>
      </w:r>
      <w:r w:rsidR="005C5B32">
        <w:t xml:space="preserve"> </w:t>
      </w:r>
      <w:r w:rsidRPr="00463B5B">
        <w:t>serving</w:t>
      </w:r>
      <w:r w:rsidR="005C5B32">
        <w:t xml:space="preserve"> </w:t>
      </w:r>
      <w:r w:rsidRPr="00463B5B">
        <w:t>homeless</w:t>
      </w:r>
      <w:r w:rsidR="005C5B32">
        <w:t xml:space="preserve"> </w:t>
      </w:r>
      <w:r w:rsidRPr="00463B5B">
        <w:t>families</w:t>
      </w:r>
      <w:r w:rsidR="005C5B32">
        <w:t xml:space="preserve"> </w:t>
      </w:r>
      <w:r w:rsidRPr="00463B5B">
        <w:t>will</w:t>
      </w:r>
      <w:r w:rsidR="005C5B32">
        <w:t xml:space="preserve"> </w:t>
      </w:r>
      <w:r w:rsidRPr="00463B5B">
        <w:t>have</w:t>
      </w:r>
      <w:r w:rsidR="005C5B32">
        <w:t xml:space="preserve"> </w:t>
      </w:r>
      <w:r w:rsidRPr="00463B5B">
        <w:t>to</w:t>
      </w:r>
      <w:r w:rsidR="005C5B32">
        <w:t xml:space="preserve"> </w:t>
      </w:r>
      <w:r w:rsidRPr="00463B5B">
        <w:t>certify</w:t>
      </w:r>
      <w:r w:rsidR="005C5B32">
        <w:t xml:space="preserve"> </w:t>
      </w:r>
      <w:r w:rsidRPr="00463B5B">
        <w:t>that</w:t>
      </w:r>
      <w:r w:rsidR="005C5B32">
        <w:t xml:space="preserve"> </w:t>
      </w:r>
      <w:r w:rsidRPr="00463B5B">
        <w:t>their</w:t>
      </w:r>
      <w:r w:rsidR="005C5B32">
        <w:t xml:space="preserve"> </w:t>
      </w:r>
      <w:r w:rsidRPr="00463B5B">
        <w:t>programs</w:t>
      </w:r>
      <w:r w:rsidR="005C5B32">
        <w:t xml:space="preserve"> </w:t>
      </w:r>
      <w:r w:rsidRPr="00463B5B">
        <w:t>will</w:t>
      </w:r>
      <w:r w:rsidR="005C5B32">
        <w:t xml:space="preserve"> </w:t>
      </w:r>
      <w:r w:rsidRPr="00463B5B">
        <w:t>establish</w:t>
      </w:r>
      <w:r w:rsidR="005C5B32">
        <w:t xml:space="preserve"> </w:t>
      </w:r>
      <w:r w:rsidRPr="00463B5B">
        <w:t>policies</w:t>
      </w:r>
      <w:r w:rsidR="005C5B32">
        <w:t xml:space="preserve"> </w:t>
      </w:r>
      <w:r w:rsidRPr="00463B5B">
        <w:t>and</w:t>
      </w:r>
      <w:r w:rsidR="005C5B32">
        <w:t xml:space="preserve"> </w:t>
      </w:r>
      <w:r w:rsidRPr="00463B5B">
        <w:t>practices</w:t>
      </w:r>
      <w:r w:rsidR="005C5B32">
        <w:t xml:space="preserve"> </w:t>
      </w:r>
      <w:r w:rsidRPr="00463B5B">
        <w:t>that</w:t>
      </w:r>
      <w:r w:rsidR="005C5B32">
        <w:t xml:space="preserve"> </w:t>
      </w:r>
      <w:r w:rsidRPr="00463B5B">
        <w:t>are</w:t>
      </w:r>
      <w:r w:rsidR="005C5B32">
        <w:t xml:space="preserve"> </w:t>
      </w:r>
      <w:r w:rsidRPr="00463B5B">
        <w:t>consistent</w:t>
      </w:r>
      <w:r w:rsidR="005C5B32">
        <w:t xml:space="preserve"> </w:t>
      </w:r>
      <w:r w:rsidRPr="00463B5B">
        <w:t>with,</w:t>
      </w:r>
      <w:r w:rsidR="005C5B32">
        <w:t xml:space="preserve"> </w:t>
      </w:r>
      <w:r w:rsidRPr="00463B5B">
        <w:t>and</w:t>
      </w:r>
      <w:r w:rsidR="005C5B32">
        <w:t xml:space="preserve"> </w:t>
      </w:r>
      <w:r w:rsidRPr="00463B5B">
        <w:t>do</w:t>
      </w:r>
      <w:r w:rsidR="005C5B32">
        <w:t xml:space="preserve"> </w:t>
      </w:r>
      <w:r w:rsidRPr="00463B5B">
        <w:t>not</w:t>
      </w:r>
      <w:r w:rsidR="005C5B32">
        <w:t xml:space="preserve"> </w:t>
      </w:r>
      <w:r w:rsidRPr="00463B5B">
        <w:t>restrict</w:t>
      </w:r>
      <w:r w:rsidR="005C5B32">
        <w:t xml:space="preserve"> </w:t>
      </w:r>
      <w:r w:rsidRPr="00463B5B">
        <w:t>the</w:t>
      </w:r>
      <w:r w:rsidR="005C5B32">
        <w:t xml:space="preserve"> </w:t>
      </w:r>
      <w:r w:rsidRPr="00463B5B">
        <w:t>exercise</w:t>
      </w:r>
      <w:r w:rsidR="005C5B32">
        <w:t xml:space="preserve"> </w:t>
      </w:r>
      <w:r w:rsidRPr="00463B5B">
        <w:t>of</w:t>
      </w:r>
      <w:r w:rsidR="005C5B32">
        <w:t xml:space="preserve"> </w:t>
      </w:r>
      <w:r w:rsidRPr="00463B5B">
        <w:t>rights</w:t>
      </w:r>
      <w:r w:rsidR="005C5B32">
        <w:t xml:space="preserve"> </w:t>
      </w:r>
      <w:r w:rsidRPr="00463B5B">
        <w:t>provided</w:t>
      </w:r>
      <w:r w:rsidR="005C5B32">
        <w:t xml:space="preserve"> </w:t>
      </w:r>
      <w:r w:rsidRPr="00463B5B">
        <w:t>by</w:t>
      </w:r>
      <w:r w:rsidR="005C5B32">
        <w:t xml:space="preserve"> </w:t>
      </w:r>
      <w:r w:rsidRPr="00463B5B">
        <w:t>the</w:t>
      </w:r>
      <w:r w:rsidR="005C5B32">
        <w:t xml:space="preserve"> </w:t>
      </w:r>
      <w:r w:rsidRPr="00463B5B">
        <w:t>education</w:t>
      </w:r>
      <w:r w:rsidR="005C5B32">
        <w:t xml:space="preserve"> </w:t>
      </w:r>
      <w:r w:rsidRPr="00463B5B">
        <w:t>subtitle</w:t>
      </w:r>
      <w:r w:rsidR="005C5B32">
        <w:t xml:space="preserve"> </w:t>
      </w:r>
      <w:r w:rsidRPr="00463B5B">
        <w:t>of</w:t>
      </w:r>
      <w:r w:rsidR="005C5B32">
        <w:t xml:space="preserve"> </w:t>
      </w:r>
      <w:r w:rsidRPr="00463B5B">
        <w:t>the</w:t>
      </w:r>
      <w:r w:rsidR="005C5B32">
        <w:t xml:space="preserve"> </w:t>
      </w:r>
      <w:r w:rsidRPr="00463B5B">
        <w:t>McKinney</w:t>
      </w:r>
      <w:r w:rsidR="005C5B32">
        <w:t xml:space="preserve"> </w:t>
      </w:r>
      <w:r w:rsidRPr="00463B5B">
        <w:t>Vento</w:t>
      </w:r>
      <w:r w:rsidR="005C5B32">
        <w:t xml:space="preserve"> </w:t>
      </w:r>
      <w:r w:rsidRPr="00463B5B">
        <w:t>Act</w:t>
      </w:r>
      <w:r w:rsidR="005C5B32">
        <w:t xml:space="preserve"> </w:t>
      </w:r>
      <w:r w:rsidRPr="00463B5B">
        <w:t>and</w:t>
      </w:r>
      <w:r w:rsidR="005C5B32">
        <w:t xml:space="preserve"> </w:t>
      </w:r>
      <w:r w:rsidRPr="00463B5B">
        <w:t>other</w:t>
      </w:r>
      <w:r w:rsidR="005C5B32">
        <w:t xml:space="preserve"> </w:t>
      </w:r>
      <w:r w:rsidRPr="00463B5B">
        <w:t>laws</w:t>
      </w:r>
      <w:r w:rsidR="005C5B32">
        <w:t xml:space="preserve"> </w:t>
      </w:r>
      <w:r w:rsidRPr="00463B5B">
        <w:t>relating</w:t>
      </w:r>
      <w:r w:rsidR="005C5B32">
        <w:t xml:space="preserve"> </w:t>
      </w:r>
      <w:r w:rsidRPr="00463B5B">
        <w:t>to</w:t>
      </w:r>
      <w:r w:rsidR="005C5B32">
        <w:t xml:space="preserve"> </w:t>
      </w:r>
      <w:r w:rsidRPr="00463B5B">
        <w:t>the</w:t>
      </w:r>
      <w:r w:rsidR="005C5B32">
        <w:t xml:space="preserve"> </w:t>
      </w:r>
      <w:r w:rsidRPr="00463B5B">
        <w:t>provision</w:t>
      </w:r>
      <w:r w:rsidR="005C5B32">
        <w:t xml:space="preserve"> </w:t>
      </w:r>
      <w:r w:rsidRPr="00463B5B">
        <w:t>of</w:t>
      </w:r>
      <w:r w:rsidR="005C5B32">
        <w:t xml:space="preserve"> </w:t>
      </w:r>
      <w:r w:rsidRPr="00463B5B">
        <w:t>education</w:t>
      </w:r>
      <w:r w:rsidR="005C5B32">
        <w:t xml:space="preserve"> </w:t>
      </w:r>
      <w:r w:rsidRPr="00463B5B">
        <w:t>and</w:t>
      </w:r>
      <w:r w:rsidR="005C5B32">
        <w:t xml:space="preserve"> </w:t>
      </w:r>
      <w:r w:rsidRPr="00463B5B">
        <w:t>related</w:t>
      </w:r>
      <w:r w:rsidR="005C5B32">
        <w:t xml:space="preserve"> </w:t>
      </w:r>
      <w:r w:rsidRPr="00463B5B">
        <w:t>services</w:t>
      </w:r>
      <w:r w:rsidR="005C5B32">
        <w:t xml:space="preserve"> </w:t>
      </w:r>
      <w:r w:rsidRPr="00463B5B">
        <w:t>to</w:t>
      </w:r>
      <w:r w:rsidR="005C5B32">
        <w:t xml:space="preserve"> </w:t>
      </w:r>
      <w:r w:rsidRPr="00463B5B">
        <w:t>individuals</w:t>
      </w:r>
      <w:r w:rsidR="005C5B32">
        <w:t xml:space="preserve"> </w:t>
      </w:r>
      <w:r w:rsidRPr="00463B5B">
        <w:t>and</w:t>
      </w:r>
      <w:r w:rsidR="005C5B32">
        <w:t xml:space="preserve"> </w:t>
      </w:r>
      <w:r w:rsidRPr="00463B5B">
        <w:t>families</w:t>
      </w:r>
      <w:r w:rsidR="005C5B32">
        <w:t xml:space="preserve"> </w:t>
      </w:r>
      <w:r w:rsidRPr="00463B5B">
        <w:t>experiencing</w:t>
      </w:r>
      <w:r w:rsidR="005C5B32">
        <w:t xml:space="preserve"> </w:t>
      </w:r>
      <w:r w:rsidRPr="00463B5B">
        <w:t>homelessness.</w:t>
      </w:r>
      <w:r w:rsidR="005C5B32">
        <w:t xml:space="preserve"> </w:t>
      </w:r>
      <w:r w:rsidRPr="00463B5B">
        <w:t>They</w:t>
      </w:r>
      <w:r w:rsidR="005C5B32">
        <w:t xml:space="preserve"> </w:t>
      </w:r>
      <w:r w:rsidRPr="00463B5B">
        <w:t>must</w:t>
      </w:r>
      <w:r w:rsidR="005C5B32">
        <w:t xml:space="preserve"> </w:t>
      </w:r>
      <w:r w:rsidRPr="00463B5B">
        <w:t>also</w:t>
      </w:r>
      <w:r w:rsidR="005C5B32">
        <w:t xml:space="preserve"> </w:t>
      </w:r>
      <w:r w:rsidRPr="00463B5B">
        <w:t>designate</w:t>
      </w:r>
      <w:r w:rsidR="005C5B32">
        <w:t xml:space="preserve"> </w:t>
      </w:r>
      <w:r w:rsidRPr="00463B5B">
        <w:t>a</w:t>
      </w:r>
      <w:r w:rsidR="005C5B32">
        <w:t xml:space="preserve"> </w:t>
      </w:r>
      <w:r w:rsidRPr="00463B5B">
        <w:t>staff</w:t>
      </w:r>
      <w:r w:rsidR="005C5B32">
        <w:t xml:space="preserve"> </w:t>
      </w:r>
      <w:r w:rsidRPr="00463B5B">
        <w:t>person</w:t>
      </w:r>
      <w:r w:rsidR="005C5B32">
        <w:t xml:space="preserve"> </w:t>
      </w:r>
      <w:r w:rsidRPr="00463B5B">
        <w:t>to</w:t>
      </w:r>
      <w:r w:rsidR="005C5B32">
        <w:t xml:space="preserve"> </w:t>
      </w:r>
      <w:r w:rsidRPr="00463B5B">
        <w:t>ensure</w:t>
      </w:r>
      <w:r w:rsidR="005C5B32">
        <w:t xml:space="preserve"> </w:t>
      </w:r>
      <w:r w:rsidRPr="00463B5B">
        <w:t>that</w:t>
      </w:r>
      <w:r w:rsidR="005C5B32">
        <w:t xml:space="preserve"> </w:t>
      </w:r>
      <w:r w:rsidRPr="00463B5B">
        <w:t>children</w:t>
      </w:r>
      <w:r w:rsidR="005C5B32">
        <w:t xml:space="preserve"> </w:t>
      </w:r>
      <w:r w:rsidRPr="00463B5B">
        <w:t>are</w:t>
      </w:r>
      <w:r w:rsidR="005C5B32">
        <w:t xml:space="preserve"> </w:t>
      </w:r>
      <w:r w:rsidRPr="00463B5B">
        <w:t>enrolled</w:t>
      </w:r>
      <w:r w:rsidR="005C5B32">
        <w:t xml:space="preserve"> </w:t>
      </w:r>
      <w:r w:rsidRPr="00463B5B">
        <w:t>in</w:t>
      </w:r>
      <w:r w:rsidR="005C5B32">
        <w:t xml:space="preserve"> </w:t>
      </w:r>
      <w:r w:rsidRPr="00463B5B">
        <w:t>school</w:t>
      </w:r>
      <w:r w:rsidR="005C5B32">
        <w:t xml:space="preserve"> </w:t>
      </w:r>
      <w:r w:rsidRPr="00463B5B">
        <w:t>and</w:t>
      </w:r>
      <w:r w:rsidR="005C5B32">
        <w:t xml:space="preserve"> </w:t>
      </w:r>
      <w:r w:rsidRPr="00463B5B">
        <w:t>connected</w:t>
      </w:r>
      <w:r w:rsidR="005C5B32">
        <w:t xml:space="preserve"> </w:t>
      </w:r>
      <w:r w:rsidRPr="00463B5B">
        <w:t>to</w:t>
      </w:r>
      <w:r w:rsidR="005C5B32">
        <w:t xml:space="preserve"> </w:t>
      </w:r>
      <w:r w:rsidRPr="00463B5B">
        <w:t>appropriate</w:t>
      </w:r>
      <w:r w:rsidR="005C5B32">
        <w:t xml:space="preserve"> </w:t>
      </w:r>
      <w:r w:rsidRPr="00463B5B">
        <w:t>services</w:t>
      </w:r>
      <w:r w:rsidR="005C5B32">
        <w:t xml:space="preserve"> </w:t>
      </w:r>
      <w:r w:rsidRPr="00463B5B">
        <w:t>within</w:t>
      </w:r>
      <w:r w:rsidR="005C5B32">
        <w:t xml:space="preserve"> </w:t>
      </w:r>
      <w:r w:rsidRPr="00463B5B">
        <w:t>the</w:t>
      </w:r>
      <w:r w:rsidR="005C5B32">
        <w:t xml:space="preserve"> </w:t>
      </w:r>
      <w:r w:rsidRPr="00463B5B">
        <w:t>community.</w:t>
      </w:r>
      <w:r w:rsidR="005C5B32">
        <w:t xml:space="preserve"> </w:t>
      </w:r>
    </w:p>
    <w:p w14:paraId="05FCA04C" w14:textId="77777777" w:rsidR="005C5B32" w:rsidRDefault="00463B5B" w:rsidP="005E12BA">
      <w:pPr>
        <w:pStyle w:val="ListParagraph"/>
        <w:numPr>
          <w:ilvl w:val="0"/>
          <w:numId w:val="36"/>
        </w:numPr>
        <w:tabs>
          <w:tab w:val="left" w:pos="2790"/>
        </w:tabs>
      </w:pPr>
      <w:r w:rsidRPr="00463B5B">
        <w:t>Limited</w:t>
      </w:r>
      <w:r w:rsidR="005C5B32">
        <w:t xml:space="preserve"> </w:t>
      </w:r>
      <w:r w:rsidRPr="00463B5B">
        <w:t>English</w:t>
      </w:r>
      <w:r w:rsidR="005C5B32">
        <w:t xml:space="preserve"> </w:t>
      </w:r>
      <w:r w:rsidRPr="00463B5B">
        <w:t>Proficiency:</w:t>
      </w:r>
      <w:r w:rsidR="005C5B32">
        <w:t xml:space="preserve"> </w:t>
      </w:r>
      <w:r w:rsidRPr="00463B5B">
        <w:t>Recipients</w:t>
      </w:r>
      <w:r w:rsidR="005C5B32">
        <w:t xml:space="preserve"> </w:t>
      </w:r>
      <w:r w:rsidRPr="00463B5B">
        <w:t>and</w:t>
      </w:r>
      <w:r w:rsidR="005C5B32">
        <w:t xml:space="preserve"> </w:t>
      </w:r>
      <w:r w:rsidRPr="00463B5B">
        <w:t>subrecipients</w:t>
      </w:r>
      <w:r w:rsidR="005C5B32">
        <w:t xml:space="preserve"> </w:t>
      </w:r>
      <w:r w:rsidRPr="00463B5B">
        <w:t>must</w:t>
      </w:r>
      <w:r w:rsidR="005C5B32">
        <w:t xml:space="preserve"> </w:t>
      </w:r>
      <w:r w:rsidRPr="00463B5B">
        <w:t>comply</w:t>
      </w:r>
      <w:r w:rsidR="005C5B32">
        <w:t xml:space="preserve"> </w:t>
      </w:r>
      <w:r w:rsidRPr="00463B5B">
        <w:t>with</w:t>
      </w:r>
      <w:r w:rsidR="005C5B32">
        <w:t xml:space="preserve"> </w:t>
      </w:r>
      <w:r w:rsidRPr="00463B5B">
        <w:t>Executive</w:t>
      </w:r>
      <w:r w:rsidR="005C5B32">
        <w:t xml:space="preserve"> </w:t>
      </w:r>
      <w:r w:rsidRPr="00463B5B">
        <w:t>Order</w:t>
      </w:r>
      <w:r w:rsidR="005C5B32">
        <w:t xml:space="preserve"> </w:t>
      </w:r>
      <w:r w:rsidRPr="00463B5B">
        <w:t>13166,</w:t>
      </w:r>
      <w:r w:rsidR="005C5B32">
        <w:t xml:space="preserve"> </w:t>
      </w:r>
      <w:r w:rsidRPr="00463B5B">
        <w:t>“Improving</w:t>
      </w:r>
      <w:r w:rsidR="005C5B32">
        <w:t xml:space="preserve"> </w:t>
      </w:r>
      <w:r w:rsidRPr="00463B5B">
        <w:t>Access</w:t>
      </w:r>
      <w:r w:rsidR="005C5B32">
        <w:t xml:space="preserve"> </w:t>
      </w:r>
      <w:r w:rsidRPr="00463B5B">
        <w:t>to</w:t>
      </w:r>
      <w:r w:rsidR="005C5B32">
        <w:t xml:space="preserve"> </w:t>
      </w:r>
      <w:r w:rsidRPr="00463B5B">
        <w:t>Services</w:t>
      </w:r>
      <w:r w:rsidR="005C5B32">
        <w:t xml:space="preserve"> </w:t>
      </w:r>
      <w:r w:rsidRPr="00463B5B">
        <w:t>for</w:t>
      </w:r>
      <w:r w:rsidR="005C5B32">
        <w:t xml:space="preserve"> </w:t>
      </w:r>
      <w:r w:rsidRPr="00463B5B">
        <w:t>Persons</w:t>
      </w:r>
      <w:r w:rsidR="005C5B32">
        <w:t xml:space="preserve"> </w:t>
      </w:r>
      <w:r w:rsidRPr="00463B5B">
        <w:t>with</w:t>
      </w:r>
      <w:r w:rsidR="005C5B32">
        <w:t xml:space="preserve"> </w:t>
      </w:r>
      <w:r w:rsidRPr="00463B5B">
        <w:t>Limited</w:t>
      </w:r>
      <w:r w:rsidR="005C5B32">
        <w:t xml:space="preserve"> </w:t>
      </w:r>
      <w:r w:rsidRPr="00463B5B">
        <w:t>English</w:t>
      </w:r>
      <w:r w:rsidR="005C5B32">
        <w:t xml:space="preserve"> </w:t>
      </w:r>
      <w:r w:rsidRPr="00463B5B">
        <w:t>Proficiency</w:t>
      </w:r>
      <w:r w:rsidR="005C5B32">
        <w:t xml:space="preserve"> </w:t>
      </w:r>
      <w:r w:rsidRPr="00463B5B">
        <w:t>(LEP)”</w:t>
      </w:r>
    </w:p>
    <w:p w14:paraId="61178FD7" w14:textId="1194DCF6" w:rsidR="00D86C89" w:rsidRDefault="00463B5B" w:rsidP="3F04BC06">
      <w:pPr>
        <w:pStyle w:val="ListParagraph"/>
        <w:numPr>
          <w:ilvl w:val="0"/>
          <w:numId w:val="36"/>
        </w:numPr>
        <w:tabs>
          <w:tab w:val="left" w:pos="2790"/>
        </w:tabs>
      </w:pPr>
      <w:r w:rsidRPr="00463B5B">
        <w:t>Ethics:</w:t>
      </w:r>
      <w:r w:rsidR="005C5B32">
        <w:t xml:space="preserve"> </w:t>
      </w:r>
      <w:r w:rsidRPr="00463B5B">
        <w:t>Recipients</w:t>
      </w:r>
      <w:r w:rsidR="005C5B32">
        <w:t xml:space="preserve"> </w:t>
      </w:r>
      <w:r w:rsidRPr="00463B5B">
        <w:t>and</w:t>
      </w:r>
      <w:r w:rsidR="005C5B32">
        <w:t xml:space="preserve"> </w:t>
      </w:r>
      <w:r w:rsidRPr="00463B5B">
        <w:t>subrecipients</w:t>
      </w:r>
      <w:r w:rsidR="005C5B32">
        <w:t xml:space="preserve"> </w:t>
      </w:r>
      <w:r w:rsidRPr="00463B5B">
        <w:t>must</w:t>
      </w:r>
      <w:r w:rsidR="005C5B32">
        <w:t xml:space="preserve"> </w:t>
      </w:r>
      <w:r w:rsidRPr="00463B5B">
        <w:t>not</w:t>
      </w:r>
      <w:r w:rsidR="005C5B32">
        <w:t xml:space="preserve"> </w:t>
      </w:r>
      <w:r w:rsidRPr="00463B5B">
        <w:t>be</w:t>
      </w:r>
      <w:r w:rsidR="005C5B32">
        <w:t xml:space="preserve"> </w:t>
      </w:r>
      <w:r w:rsidRPr="00463B5B">
        <w:t>debarred</w:t>
      </w:r>
      <w:r w:rsidR="005C5B32">
        <w:t xml:space="preserve"> </w:t>
      </w:r>
      <w:r w:rsidRPr="00463B5B">
        <w:t>or</w:t>
      </w:r>
      <w:r w:rsidR="005C5B32">
        <w:t xml:space="preserve"> </w:t>
      </w:r>
      <w:r w:rsidRPr="00463B5B">
        <w:t>suspended,</w:t>
      </w:r>
      <w:r w:rsidR="005C5B32">
        <w:t xml:space="preserve"> </w:t>
      </w:r>
      <w:r w:rsidRPr="00463B5B">
        <w:t>not</w:t>
      </w:r>
      <w:r w:rsidR="005C5B32">
        <w:t xml:space="preserve"> </w:t>
      </w:r>
      <w:r w:rsidRPr="00463B5B">
        <w:t>have</w:t>
      </w:r>
      <w:r w:rsidR="005C5B32">
        <w:t xml:space="preserve"> </w:t>
      </w:r>
      <w:r w:rsidRPr="00463B5B">
        <w:t>delinquent</w:t>
      </w:r>
      <w:r w:rsidR="005C5B32">
        <w:t xml:space="preserve"> </w:t>
      </w:r>
      <w:r w:rsidRPr="00463B5B">
        <w:t>federal</w:t>
      </w:r>
      <w:r w:rsidR="005C5B32">
        <w:t xml:space="preserve"> </w:t>
      </w:r>
      <w:r w:rsidRPr="00463B5B">
        <w:t>debts,</w:t>
      </w:r>
      <w:r w:rsidR="005C5B32">
        <w:t xml:space="preserve"> </w:t>
      </w:r>
      <w:r w:rsidRPr="00463B5B">
        <w:t>and</w:t>
      </w:r>
      <w:r w:rsidR="005C5B32">
        <w:t xml:space="preserve"> </w:t>
      </w:r>
      <w:r w:rsidRPr="00463B5B">
        <w:t>must</w:t>
      </w:r>
      <w:r w:rsidR="005C5B32">
        <w:t xml:space="preserve"> </w:t>
      </w:r>
      <w:r w:rsidRPr="00463B5B">
        <w:t>conduct</w:t>
      </w:r>
      <w:r w:rsidR="005C5B32">
        <w:t xml:space="preserve"> </w:t>
      </w:r>
      <w:r w:rsidRPr="00463B5B">
        <w:t>business</w:t>
      </w:r>
      <w:r w:rsidR="005C5B32">
        <w:t xml:space="preserve"> </w:t>
      </w:r>
      <w:r w:rsidRPr="00463B5B">
        <w:t>in</w:t>
      </w:r>
      <w:r w:rsidR="005C5B32">
        <w:t xml:space="preserve"> </w:t>
      </w:r>
      <w:r w:rsidRPr="00463B5B">
        <w:t>accordance</w:t>
      </w:r>
      <w:r w:rsidR="005C5B32">
        <w:t xml:space="preserve"> </w:t>
      </w:r>
      <w:r w:rsidRPr="00463B5B">
        <w:t>with</w:t>
      </w:r>
      <w:r w:rsidR="005C5B32">
        <w:t xml:space="preserve"> </w:t>
      </w:r>
      <w:r w:rsidRPr="00463B5B">
        <w:t>core</w:t>
      </w:r>
      <w:r w:rsidR="005C5B32">
        <w:t xml:space="preserve"> </w:t>
      </w:r>
      <w:r w:rsidRPr="00463B5B">
        <w:t>values</w:t>
      </w:r>
      <w:r w:rsidR="005C5B32">
        <w:t xml:space="preserve"> </w:t>
      </w:r>
      <w:r w:rsidRPr="00463B5B">
        <w:t>and</w:t>
      </w:r>
      <w:r w:rsidR="005C5B32">
        <w:t xml:space="preserve"> </w:t>
      </w:r>
      <w:r w:rsidRPr="00463B5B">
        <w:t>ethical</w:t>
      </w:r>
      <w:r w:rsidR="005C5B32">
        <w:t xml:space="preserve"> </w:t>
      </w:r>
      <w:r w:rsidRPr="00463B5B">
        <w:t>standards/code</w:t>
      </w:r>
      <w:r w:rsidR="005C5B32">
        <w:t xml:space="preserve"> </w:t>
      </w:r>
      <w:r w:rsidRPr="00463B5B">
        <w:t>of</w:t>
      </w:r>
      <w:r w:rsidR="005C5B32">
        <w:t xml:space="preserve"> </w:t>
      </w:r>
      <w:r w:rsidRPr="00463B5B">
        <w:t>conduct.</w:t>
      </w:r>
      <w:r w:rsidRPr="00463B5B">
        <w:tab/>
      </w:r>
    </w:p>
    <w:p w14:paraId="1EBC60C7" w14:textId="0445FB9E" w:rsidR="003817D2" w:rsidRDefault="003817D2" w:rsidP="003817D2">
      <w:pPr>
        <w:tabs>
          <w:tab w:val="left" w:pos="2790"/>
        </w:tabs>
        <w:rPr>
          <w:b/>
          <w:sz w:val="32"/>
          <w:szCs w:val="32"/>
        </w:rPr>
      </w:pPr>
      <w:r>
        <w:rPr>
          <w:b/>
          <w:bCs/>
          <w:sz w:val="32"/>
          <w:szCs w:val="32"/>
        </w:rPr>
        <w:t>SMAC</w:t>
      </w:r>
      <w:r w:rsidR="0063757C">
        <w:rPr>
          <w:b/>
          <w:bCs/>
          <w:sz w:val="32"/>
          <w:szCs w:val="32"/>
        </w:rPr>
        <w:t xml:space="preserve"> 2023</w:t>
      </w:r>
      <w:r>
        <w:rPr>
          <w:b/>
          <w:bCs/>
          <w:sz w:val="32"/>
          <w:szCs w:val="32"/>
        </w:rPr>
        <w:t xml:space="preserve"> </w:t>
      </w:r>
      <w:r w:rsidR="0089021D">
        <w:rPr>
          <w:b/>
          <w:bCs/>
          <w:sz w:val="32"/>
          <w:szCs w:val="32"/>
        </w:rPr>
        <w:t>New and Expansion Project Timeline</w:t>
      </w:r>
      <w:r>
        <w:rPr>
          <w:b/>
          <w:bCs/>
          <w:sz w:val="32"/>
          <w:szCs w:val="32"/>
        </w:rPr>
        <w:t xml:space="preserve">: Updated </w:t>
      </w:r>
      <w:proofErr w:type="gramStart"/>
      <w:r w:rsidR="29EA6473" w:rsidRPr="29EA6473">
        <w:rPr>
          <w:b/>
          <w:bCs/>
          <w:sz w:val="32"/>
          <w:szCs w:val="32"/>
        </w:rPr>
        <w:t>7/13</w:t>
      </w:r>
      <w:r>
        <w:rPr>
          <w:b/>
          <w:bCs/>
          <w:sz w:val="32"/>
          <w:szCs w:val="32"/>
        </w:rPr>
        <w:t>/</w:t>
      </w:r>
      <w:r w:rsidR="006F68C7">
        <w:rPr>
          <w:b/>
          <w:bCs/>
          <w:sz w:val="32"/>
          <w:szCs w:val="32"/>
        </w:rPr>
        <w:t>2023</w:t>
      </w:r>
      <w:proofErr w:type="gramEnd"/>
    </w:p>
    <w:tbl>
      <w:tblPr>
        <w:tblW w:w="10214" w:type="dxa"/>
        <w:tblLayout w:type="fixed"/>
        <w:tblLook w:val="04A0" w:firstRow="1" w:lastRow="0" w:firstColumn="1" w:lastColumn="0" w:noHBand="0" w:noVBand="1"/>
      </w:tblPr>
      <w:tblGrid>
        <w:gridCol w:w="2317"/>
        <w:gridCol w:w="2617"/>
        <w:gridCol w:w="3387"/>
        <w:gridCol w:w="1893"/>
      </w:tblGrid>
      <w:tr w:rsidR="3F04BC06" w14:paraId="269F63E5" w14:textId="77777777" w:rsidTr="00AA7D9D">
        <w:trPr>
          <w:trHeight w:val="300"/>
        </w:trPr>
        <w:tc>
          <w:tcPr>
            <w:tcW w:w="2317" w:type="dxa"/>
            <w:tcBorders>
              <w:top w:val="single" w:sz="8" w:space="0" w:color="4472C4" w:themeColor="accent1"/>
              <w:left w:val="single" w:sz="8" w:space="0" w:color="4472C4" w:themeColor="accent1"/>
              <w:bottom w:val="single" w:sz="8" w:space="0" w:color="4472C4" w:themeColor="accent1"/>
              <w:right w:val="nil"/>
            </w:tcBorders>
            <w:shd w:val="clear" w:color="auto" w:fill="4472C4" w:themeFill="accent1"/>
            <w:tcMar>
              <w:left w:w="108" w:type="dxa"/>
              <w:right w:w="108" w:type="dxa"/>
            </w:tcMar>
          </w:tcPr>
          <w:p w14:paraId="0C929747" w14:textId="11CFD85B" w:rsidR="3F04BC06" w:rsidRDefault="3F04BC06">
            <w:r w:rsidRPr="3F04BC06">
              <w:rPr>
                <w:rFonts w:ascii="Calibri" w:eastAsia="Calibri" w:hAnsi="Calibri" w:cs="Calibri"/>
                <w:color w:val="000000" w:themeColor="text1"/>
                <w:sz w:val="19"/>
                <w:szCs w:val="19"/>
              </w:rPr>
              <w:t xml:space="preserve">Date &amp; Time </w:t>
            </w:r>
          </w:p>
        </w:tc>
        <w:tc>
          <w:tcPr>
            <w:tcW w:w="2617" w:type="dxa"/>
            <w:tcBorders>
              <w:top w:val="single" w:sz="8" w:space="0" w:color="4472C4" w:themeColor="accent1"/>
              <w:left w:val="nil"/>
              <w:bottom w:val="single" w:sz="8" w:space="0" w:color="4472C4" w:themeColor="accent1"/>
              <w:right w:val="nil"/>
            </w:tcBorders>
            <w:shd w:val="clear" w:color="auto" w:fill="4472C4" w:themeFill="accent1"/>
            <w:tcMar>
              <w:left w:w="108" w:type="dxa"/>
              <w:right w:w="108" w:type="dxa"/>
            </w:tcMar>
          </w:tcPr>
          <w:p w14:paraId="53BBACC4" w14:textId="630A2341" w:rsidR="3F04BC06" w:rsidRDefault="3F04BC06">
            <w:r w:rsidRPr="3F04BC06">
              <w:rPr>
                <w:rFonts w:ascii="Calibri" w:eastAsia="Calibri" w:hAnsi="Calibri" w:cs="Calibri"/>
                <w:b/>
                <w:bCs/>
                <w:color w:val="000000" w:themeColor="text1"/>
                <w:sz w:val="19"/>
                <w:szCs w:val="19"/>
              </w:rPr>
              <w:t xml:space="preserve">Event </w:t>
            </w:r>
          </w:p>
        </w:tc>
        <w:tc>
          <w:tcPr>
            <w:tcW w:w="3387" w:type="dxa"/>
            <w:tcBorders>
              <w:top w:val="single" w:sz="8" w:space="0" w:color="4472C4" w:themeColor="accent1"/>
              <w:left w:val="nil"/>
              <w:bottom w:val="single" w:sz="8" w:space="0" w:color="4472C4" w:themeColor="accent1"/>
              <w:right w:val="nil"/>
            </w:tcBorders>
            <w:shd w:val="clear" w:color="auto" w:fill="4472C4" w:themeFill="accent1"/>
            <w:tcMar>
              <w:left w:w="108" w:type="dxa"/>
              <w:right w:w="108" w:type="dxa"/>
            </w:tcMar>
          </w:tcPr>
          <w:p w14:paraId="787A5396" w14:textId="75D9836B" w:rsidR="3F04BC06" w:rsidRDefault="3F04BC06">
            <w:r w:rsidRPr="3F04BC06">
              <w:rPr>
                <w:rFonts w:ascii="Calibri" w:eastAsia="Calibri" w:hAnsi="Calibri" w:cs="Calibri"/>
                <w:color w:val="000000" w:themeColor="text1"/>
                <w:sz w:val="19"/>
                <w:szCs w:val="19"/>
              </w:rPr>
              <w:t>Action</w:t>
            </w:r>
          </w:p>
        </w:tc>
        <w:tc>
          <w:tcPr>
            <w:tcW w:w="1893" w:type="dxa"/>
            <w:tcBorders>
              <w:top w:val="single" w:sz="8" w:space="0" w:color="4472C4" w:themeColor="accent1"/>
              <w:left w:val="nil"/>
              <w:bottom w:val="single" w:sz="8" w:space="0" w:color="4472C4" w:themeColor="accent1"/>
              <w:right w:val="single" w:sz="8" w:space="0" w:color="4472C4" w:themeColor="accent1"/>
            </w:tcBorders>
            <w:shd w:val="clear" w:color="auto" w:fill="4472C4" w:themeFill="accent1"/>
            <w:tcMar>
              <w:left w:w="108" w:type="dxa"/>
              <w:right w:w="108" w:type="dxa"/>
            </w:tcMar>
          </w:tcPr>
          <w:p w14:paraId="3E2B2D87" w14:textId="72797A9C" w:rsidR="3F04BC06" w:rsidRDefault="3F04BC06">
            <w:r w:rsidRPr="3F04BC06">
              <w:rPr>
                <w:rFonts w:ascii="Calibri" w:eastAsia="Calibri" w:hAnsi="Calibri" w:cs="Calibri"/>
                <w:b/>
                <w:bCs/>
                <w:color w:val="000000" w:themeColor="text1"/>
                <w:sz w:val="19"/>
                <w:szCs w:val="19"/>
              </w:rPr>
              <w:t xml:space="preserve">Notes </w:t>
            </w:r>
          </w:p>
        </w:tc>
      </w:tr>
      <w:tr w:rsidR="3F04BC06" w14:paraId="01B65B2C" w14:textId="77777777" w:rsidTr="00AA7D9D">
        <w:trPr>
          <w:trHeight w:val="300"/>
        </w:trPr>
        <w:tc>
          <w:tcPr>
            <w:tcW w:w="23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366CB730" w14:textId="049FF1DD" w:rsidR="3F04BC06" w:rsidRDefault="3F04BC06">
            <w:r w:rsidRPr="3F04BC06">
              <w:rPr>
                <w:rFonts w:ascii="Calibri" w:eastAsia="Calibri" w:hAnsi="Calibri" w:cs="Calibri"/>
                <w:b/>
                <w:bCs/>
                <w:color w:val="000000" w:themeColor="text1"/>
                <w:sz w:val="18"/>
                <w:szCs w:val="18"/>
              </w:rPr>
              <w:t>Friday, July 14</w:t>
            </w:r>
          </w:p>
        </w:tc>
        <w:tc>
          <w:tcPr>
            <w:tcW w:w="26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7924D68A" w14:textId="0B308040" w:rsidR="3F04BC06" w:rsidRDefault="3F04BC06">
            <w:r w:rsidRPr="3F04BC06">
              <w:rPr>
                <w:rFonts w:ascii="Calibri" w:eastAsia="Calibri" w:hAnsi="Calibri" w:cs="Calibri"/>
                <w:color w:val="000000" w:themeColor="text1"/>
                <w:sz w:val="19"/>
                <w:szCs w:val="19"/>
              </w:rPr>
              <w:t xml:space="preserve">Call for New and Expansion projects sent out </w:t>
            </w:r>
          </w:p>
        </w:tc>
        <w:tc>
          <w:tcPr>
            <w:tcW w:w="338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71B499CE" w14:textId="7034D197" w:rsidR="3F04BC06" w:rsidRDefault="3F04BC06" w:rsidP="3F04BC06">
            <w:pPr>
              <w:spacing w:after="0"/>
            </w:pPr>
            <w:r w:rsidRPr="3F04BC06">
              <w:rPr>
                <w:rFonts w:ascii="Calibri" w:eastAsia="Calibri" w:hAnsi="Calibri" w:cs="Calibri"/>
                <w:color w:val="000000" w:themeColor="text1"/>
                <w:sz w:val="19"/>
                <w:szCs w:val="19"/>
              </w:rPr>
              <w:t>Contact Laquita Love-Limo (</w:t>
            </w:r>
            <w:hyperlink r:id="rId10">
              <w:r w:rsidRPr="3F04BC06">
                <w:rPr>
                  <w:rStyle w:val="Hyperlink"/>
                  <w:rFonts w:ascii="Calibri" w:eastAsia="Calibri" w:hAnsi="Calibri" w:cs="Calibri"/>
                  <w:sz w:val="19"/>
                  <w:szCs w:val="19"/>
                </w:rPr>
                <w:t>laquita@mesh-mn.org</w:t>
              </w:r>
            </w:hyperlink>
            <w:r w:rsidRPr="3F04BC06">
              <w:rPr>
                <w:rFonts w:ascii="Calibri" w:eastAsia="Calibri" w:hAnsi="Calibri" w:cs="Calibri"/>
                <w:sz w:val="19"/>
                <w:szCs w:val="19"/>
              </w:rPr>
              <w:t>)</w:t>
            </w:r>
            <w:r w:rsidRPr="3F04BC06">
              <w:rPr>
                <w:rFonts w:ascii="Calibri" w:eastAsia="Calibri" w:hAnsi="Calibri" w:cs="Calibri"/>
                <w:color w:val="000000" w:themeColor="text1"/>
                <w:sz w:val="19"/>
                <w:szCs w:val="19"/>
              </w:rPr>
              <w:t xml:space="preserve"> </w:t>
            </w:r>
          </w:p>
        </w:tc>
        <w:tc>
          <w:tcPr>
            <w:tcW w:w="189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59A111CE" w14:textId="3951FD40" w:rsidR="3F04BC06" w:rsidRDefault="3F04BC06">
            <w:r w:rsidRPr="3F04BC06">
              <w:rPr>
                <w:rFonts w:ascii="Calibri" w:eastAsia="Calibri" w:hAnsi="Calibri" w:cs="Calibri"/>
                <w:color w:val="000000" w:themeColor="text1"/>
                <w:sz w:val="19"/>
                <w:szCs w:val="19"/>
              </w:rPr>
              <w:t>New, expansion projects</w:t>
            </w:r>
          </w:p>
        </w:tc>
      </w:tr>
      <w:tr w:rsidR="3F04BC06" w14:paraId="65916541" w14:textId="77777777" w:rsidTr="00AA7D9D">
        <w:trPr>
          <w:trHeight w:val="300"/>
        </w:trPr>
        <w:tc>
          <w:tcPr>
            <w:tcW w:w="23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7DE593A3" w14:textId="1D48055E" w:rsidR="3F04BC06" w:rsidRDefault="3F04BC06">
            <w:r w:rsidRPr="3F04BC06">
              <w:rPr>
                <w:rFonts w:ascii="Calibri" w:eastAsia="Calibri" w:hAnsi="Calibri" w:cs="Calibri"/>
                <w:b/>
                <w:bCs/>
                <w:color w:val="000000" w:themeColor="text1"/>
                <w:sz w:val="18"/>
                <w:szCs w:val="18"/>
              </w:rPr>
              <w:t>Monday, July 31</w:t>
            </w:r>
          </w:p>
          <w:p w14:paraId="09EAE389" w14:textId="0C9960C5" w:rsidR="3F04BC06" w:rsidRDefault="3F04BC06">
            <w:r w:rsidRPr="3F04BC06">
              <w:rPr>
                <w:rFonts w:ascii="Calibri" w:eastAsia="Calibri" w:hAnsi="Calibri" w:cs="Calibri"/>
                <w:b/>
                <w:bCs/>
                <w:color w:val="000000" w:themeColor="text1"/>
                <w:sz w:val="19"/>
                <w:szCs w:val="19"/>
              </w:rPr>
              <w:t xml:space="preserve"> </w:t>
            </w:r>
          </w:p>
        </w:tc>
        <w:tc>
          <w:tcPr>
            <w:tcW w:w="26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35F3137E" w14:textId="4985531C" w:rsidR="3F04BC06" w:rsidRDefault="3F04BC06">
            <w:r w:rsidRPr="3F04BC06">
              <w:rPr>
                <w:rFonts w:ascii="Calibri" w:eastAsia="Calibri" w:hAnsi="Calibri" w:cs="Calibri"/>
                <w:color w:val="000000" w:themeColor="text1"/>
                <w:sz w:val="19"/>
                <w:szCs w:val="19"/>
              </w:rPr>
              <w:t xml:space="preserve">Project </w:t>
            </w:r>
            <w:r w:rsidR="00A65BA8">
              <w:rPr>
                <w:rFonts w:ascii="Calibri" w:eastAsia="Calibri" w:hAnsi="Calibri" w:cs="Calibri"/>
                <w:color w:val="000000" w:themeColor="text1"/>
                <w:sz w:val="19"/>
                <w:szCs w:val="19"/>
              </w:rPr>
              <w:t>pre-</w:t>
            </w:r>
            <w:r w:rsidRPr="3F04BC06">
              <w:rPr>
                <w:rFonts w:ascii="Calibri" w:eastAsia="Calibri" w:hAnsi="Calibri" w:cs="Calibri"/>
                <w:color w:val="000000" w:themeColor="text1"/>
                <w:sz w:val="19"/>
                <w:szCs w:val="19"/>
              </w:rPr>
              <w:t>application</w:t>
            </w:r>
            <w:r w:rsidR="00A65BA8">
              <w:rPr>
                <w:rFonts w:ascii="Calibri" w:eastAsia="Calibri" w:hAnsi="Calibri" w:cs="Calibri"/>
                <w:color w:val="000000" w:themeColor="text1"/>
                <w:sz w:val="19"/>
                <w:szCs w:val="19"/>
              </w:rPr>
              <w:t xml:space="preserve">s </w:t>
            </w:r>
            <w:r w:rsidRPr="3F04BC06">
              <w:rPr>
                <w:rFonts w:ascii="Calibri" w:eastAsia="Calibri" w:hAnsi="Calibri" w:cs="Calibri"/>
                <w:color w:val="000000" w:themeColor="text1"/>
                <w:sz w:val="19"/>
                <w:szCs w:val="19"/>
              </w:rPr>
              <w:t>due for new and expansion projects</w:t>
            </w:r>
          </w:p>
        </w:tc>
        <w:tc>
          <w:tcPr>
            <w:tcW w:w="338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44692408" w14:textId="2B1069EF" w:rsidR="3F04BC06" w:rsidRDefault="3F04BC06" w:rsidP="3F04BC06">
            <w:r w:rsidRPr="3F04BC06">
              <w:rPr>
                <w:rFonts w:ascii="Calibri" w:eastAsia="Calibri" w:hAnsi="Calibri" w:cs="Calibri"/>
                <w:color w:val="000000" w:themeColor="text1"/>
                <w:sz w:val="19"/>
                <w:szCs w:val="19"/>
              </w:rPr>
              <w:t xml:space="preserve">Email PDF to Laquita Love-Limo at </w:t>
            </w:r>
            <w:hyperlink r:id="rId11">
              <w:r w:rsidRPr="3F04BC06">
                <w:rPr>
                  <w:rStyle w:val="Hyperlink"/>
                  <w:rFonts w:ascii="Calibri" w:eastAsia="Calibri" w:hAnsi="Calibri" w:cs="Calibri"/>
                  <w:sz w:val="19"/>
                  <w:szCs w:val="19"/>
                </w:rPr>
                <w:t>Laquita@mesh-mn.org</w:t>
              </w:r>
            </w:hyperlink>
            <w:r w:rsidRPr="3F04BC06">
              <w:rPr>
                <w:rFonts w:ascii="Calibri" w:eastAsia="Calibri" w:hAnsi="Calibri" w:cs="Calibri"/>
                <w:color w:val="000000" w:themeColor="text1"/>
                <w:sz w:val="19"/>
                <w:szCs w:val="19"/>
              </w:rPr>
              <w:t xml:space="preserve"> </w:t>
            </w:r>
          </w:p>
        </w:tc>
        <w:tc>
          <w:tcPr>
            <w:tcW w:w="189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02491544" w14:textId="61AD65C9" w:rsidR="3F04BC06" w:rsidRDefault="3F04BC06">
            <w:r w:rsidRPr="3F04BC06">
              <w:rPr>
                <w:rFonts w:ascii="Calibri" w:eastAsia="Calibri" w:hAnsi="Calibri" w:cs="Calibri"/>
                <w:color w:val="000000" w:themeColor="text1"/>
                <w:sz w:val="19"/>
                <w:szCs w:val="19"/>
              </w:rPr>
              <w:t>New, expansion projects</w:t>
            </w:r>
          </w:p>
        </w:tc>
      </w:tr>
      <w:tr w:rsidR="3F04BC06" w14:paraId="53A2657A" w14:textId="77777777" w:rsidTr="00AA7D9D">
        <w:trPr>
          <w:trHeight w:val="300"/>
        </w:trPr>
        <w:tc>
          <w:tcPr>
            <w:tcW w:w="23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7193A13C" w14:textId="5080EBA2" w:rsidR="3F04BC06" w:rsidRDefault="3F04BC06" w:rsidP="3F04BC06">
            <w:pPr>
              <w:spacing w:after="0"/>
            </w:pPr>
            <w:r w:rsidRPr="3F04BC06">
              <w:rPr>
                <w:rFonts w:ascii="Calibri" w:eastAsia="Calibri" w:hAnsi="Calibri" w:cs="Calibri"/>
                <w:b/>
                <w:bCs/>
                <w:color w:val="000000" w:themeColor="text1"/>
                <w:sz w:val="18"/>
                <w:szCs w:val="18"/>
              </w:rPr>
              <w:t>Thursday, August 10</w:t>
            </w:r>
          </w:p>
        </w:tc>
        <w:tc>
          <w:tcPr>
            <w:tcW w:w="26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41CBC39B" w14:textId="62A26B85" w:rsidR="3F04BC06" w:rsidRDefault="3F04BC06" w:rsidP="3F04BC06">
            <w:pPr>
              <w:rPr>
                <w:rFonts w:ascii="Calibri" w:eastAsia="Calibri" w:hAnsi="Calibri" w:cs="Calibri"/>
                <w:color w:val="000000" w:themeColor="text1"/>
                <w:sz w:val="19"/>
                <w:szCs w:val="19"/>
              </w:rPr>
            </w:pPr>
            <w:r w:rsidRPr="3F04BC06">
              <w:rPr>
                <w:rFonts w:ascii="Calibri" w:eastAsia="Calibri" w:hAnsi="Calibri" w:cs="Calibri"/>
                <w:color w:val="000000" w:themeColor="text1"/>
                <w:sz w:val="19"/>
                <w:szCs w:val="19"/>
              </w:rPr>
              <w:t>Monitoring and Evaluation Committee reviews preapplications for new and expansion projects</w:t>
            </w:r>
          </w:p>
        </w:tc>
        <w:tc>
          <w:tcPr>
            <w:tcW w:w="338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0DB406D5" w14:textId="1D501C4B" w:rsidR="3F04BC06" w:rsidRDefault="3F04BC06" w:rsidP="3F04BC06">
            <w:pPr>
              <w:rPr>
                <w:rFonts w:ascii="Calibri" w:eastAsia="Calibri" w:hAnsi="Calibri" w:cs="Calibri"/>
                <w:color w:val="000000" w:themeColor="text1"/>
                <w:sz w:val="19"/>
                <w:szCs w:val="19"/>
              </w:rPr>
            </w:pPr>
            <w:r w:rsidRPr="3F04BC06">
              <w:rPr>
                <w:rFonts w:ascii="Calibri" w:eastAsia="Calibri" w:hAnsi="Calibri" w:cs="Calibri"/>
                <w:color w:val="000000" w:themeColor="text1"/>
                <w:sz w:val="19"/>
                <w:szCs w:val="19"/>
              </w:rPr>
              <w:t>Online meeting</w:t>
            </w:r>
          </w:p>
          <w:p w14:paraId="123C7A60" w14:textId="2F0C4ADD" w:rsidR="3F04BC06" w:rsidRDefault="3F04BC06" w:rsidP="3F04BC06">
            <w:pPr>
              <w:rPr>
                <w:rFonts w:ascii="Calibri" w:eastAsia="Calibri" w:hAnsi="Calibri" w:cs="Calibri"/>
                <w:color w:val="000000" w:themeColor="text1"/>
                <w:sz w:val="19"/>
                <w:szCs w:val="19"/>
              </w:rPr>
            </w:pPr>
          </w:p>
        </w:tc>
        <w:tc>
          <w:tcPr>
            <w:tcW w:w="189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3A65AF64" w14:textId="087BF008" w:rsidR="3F04BC06" w:rsidRDefault="3F04BC06" w:rsidP="3F04BC06">
            <w:pPr>
              <w:rPr>
                <w:rFonts w:ascii="Calibri" w:eastAsia="Calibri" w:hAnsi="Calibri" w:cs="Calibri"/>
                <w:color w:val="000000" w:themeColor="text1"/>
                <w:sz w:val="19"/>
                <w:szCs w:val="19"/>
              </w:rPr>
            </w:pPr>
            <w:r w:rsidRPr="3F04BC06">
              <w:rPr>
                <w:rFonts w:ascii="Calibri" w:eastAsia="Calibri" w:hAnsi="Calibri" w:cs="Calibri"/>
                <w:color w:val="000000" w:themeColor="text1"/>
                <w:sz w:val="19"/>
                <w:szCs w:val="19"/>
              </w:rPr>
              <w:t>Monitoring and Evaluation Committee Members</w:t>
            </w:r>
          </w:p>
        </w:tc>
      </w:tr>
      <w:tr w:rsidR="3F04BC06" w14:paraId="02B4547C" w14:textId="77777777" w:rsidTr="00AA7D9D">
        <w:trPr>
          <w:trHeight w:val="300"/>
        </w:trPr>
        <w:tc>
          <w:tcPr>
            <w:tcW w:w="23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049A77C5" w14:textId="5BB59D7D" w:rsidR="3F04BC06" w:rsidRDefault="3F04BC06">
            <w:r w:rsidRPr="3F04BC06">
              <w:rPr>
                <w:rFonts w:ascii="Calibri" w:eastAsia="Calibri" w:hAnsi="Calibri" w:cs="Calibri"/>
                <w:b/>
                <w:bCs/>
                <w:color w:val="000000" w:themeColor="text1"/>
                <w:sz w:val="18"/>
                <w:szCs w:val="18"/>
              </w:rPr>
              <w:t>Monday, August 14</w:t>
            </w:r>
          </w:p>
        </w:tc>
        <w:tc>
          <w:tcPr>
            <w:tcW w:w="26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6F58DBA1" w14:textId="573801D0" w:rsidR="3F04BC06" w:rsidRDefault="3F04BC06" w:rsidP="3F04BC06">
            <w:pPr>
              <w:rPr>
                <w:rFonts w:ascii="Calibri" w:eastAsia="Calibri" w:hAnsi="Calibri" w:cs="Calibri"/>
                <w:color w:val="000000" w:themeColor="text1"/>
                <w:sz w:val="19"/>
                <w:szCs w:val="19"/>
              </w:rPr>
            </w:pPr>
            <w:r w:rsidRPr="3F04BC06">
              <w:rPr>
                <w:rFonts w:ascii="Calibri" w:eastAsia="Calibri" w:hAnsi="Calibri" w:cs="Calibri"/>
                <w:color w:val="000000" w:themeColor="text1"/>
                <w:sz w:val="19"/>
                <w:szCs w:val="19"/>
              </w:rPr>
              <w:t xml:space="preserve">New &amp; expansion applicants notified if their projects will be accepted and ranked, rejected, or reduced.  </w:t>
            </w:r>
          </w:p>
        </w:tc>
        <w:tc>
          <w:tcPr>
            <w:tcW w:w="338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49A3AA15" w14:textId="1025148E" w:rsidR="3F04BC06" w:rsidRDefault="3F04BC06">
            <w:r w:rsidRPr="3F04BC06">
              <w:rPr>
                <w:rFonts w:ascii="Calibri" w:eastAsia="Calibri" w:hAnsi="Calibri" w:cs="Calibri"/>
                <w:color w:val="000000" w:themeColor="text1"/>
                <w:sz w:val="19"/>
                <w:szCs w:val="19"/>
              </w:rPr>
              <w:t>Email will go out from Project Performance and Review Committee Members</w:t>
            </w:r>
          </w:p>
        </w:tc>
        <w:tc>
          <w:tcPr>
            <w:tcW w:w="189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3A2C2843" w14:textId="07728F38" w:rsidR="3F04BC06" w:rsidRDefault="3F04BC06">
            <w:r w:rsidRPr="3F04BC06">
              <w:rPr>
                <w:rFonts w:ascii="Calibri" w:eastAsia="Calibri" w:hAnsi="Calibri" w:cs="Calibri"/>
                <w:color w:val="000000" w:themeColor="text1"/>
                <w:sz w:val="19"/>
                <w:szCs w:val="19"/>
              </w:rPr>
              <w:t xml:space="preserve">New, </w:t>
            </w:r>
            <w:proofErr w:type="gramStart"/>
            <w:r w:rsidRPr="3F04BC06">
              <w:rPr>
                <w:rFonts w:ascii="Calibri" w:eastAsia="Calibri" w:hAnsi="Calibri" w:cs="Calibri"/>
                <w:color w:val="000000" w:themeColor="text1"/>
                <w:sz w:val="19"/>
                <w:szCs w:val="19"/>
              </w:rPr>
              <w:t>expansion,  projects</w:t>
            </w:r>
            <w:proofErr w:type="gramEnd"/>
          </w:p>
        </w:tc>
      </w:tr>
      <w:tr w:rsidR="3F04BC06" w14:paraId="4331F73D" w14:textId="77777777" w:rsidTr="00AA7D9D">
        <w:trPr>
          <w:trHeight w:val="300"/>
        </w:trPr>
        <w:tc>
          <w:tcPr>
            <w:tcW w:w="23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5A72D661" w14:textId="6FF7718E" w:rsidR="3F04BC06" w:rsidRDefault="3F04BC06" w:rsidP="3F04BC06">
            <w:pPr>
              <w:spacing w:after="0"/>
            </w:pPr>
            <w:r w:rsidRPr="3F04BC06">
              <w:rPr>
                <w:rFonts w:ascii="Calibri" w:eastAsia="Calibri" w:hAnsi="Calibri" w:cs="Calibri"/>
                <w:b/>
                <w:bCs/>
                <w:color w:val="000000" w:themeColor="text1"/>
                <w:sz w:val="18"/>
                <w:szCs w:val="18"/>
              </w:rPr>
              <w:t>Thursday, August 17</w:t>
            </w:r>
          </w:p>
        </w:tc>
        <w:tc>
          <w:tcPr>
            <w:tcW w:w="26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40618FF7" w14:textId="17FDBB02" w:rsidR="3F04BC06" w:rsidRDefault="3F04BC06">
            <w:r w:rsidRPr="3F04BC06">
              <w:rPr>
                <w:rFonts w:ascii="Calibri" w:eastAsia="Calibri" w:hAnsi="Calibri" w:cs="Calibri"/>
                <w:color w:val="000000" w:themeColor="text1"/>
                <w:sz w:val="19"/>
                <w:szCs w:val="19"/>
              </w:rPr>
              <w:t>Project Ranking Meeting</w:t>
            </w:r>
          </w:p>
          <w:p w14:paraId="0172FDA6" w14:textId="3CD4BE91" w:rsidR="3F04BC06" w:rsidRDefault="3F04BC06">
            <w:r w:rsidRPr="3F04BC06">
              <w:rPr>
                <w:rFonts w:ascii="Calibri" w:eastAsia="Calibri" w:hAnsi="Calibri" w:cs="Calibri"/>
                <w:color w:val="000000" w:themeColor="text1"/>
                <w:sz w:val="19"/>
                <w:szCs w:val="19"/>
              </w:rPr>
              <w:t xml:space="preserve"> </w:t>
            </w:r>
          </w:p>
        </w:tc>
        <w:tc>
          <w:tcPr>
            <w:tcW w:w="338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568CDE3D" w14:textId="705C0D11" w:rsidR="3F04BC06" w:rsidRDefault="3F04BC06">
            <w:r w:rsidRPr="3F04BC06">
              <w:rPr>
                <w:rFonts w:ascii="Calibri" w:eastAsia="Calibri" w:hAnsi="Calibri" w:cs="Calibri"/>
                <w:color w:val="000000" w:themeColor="text1"/>
                <w:sz w:val="19"/>
                <w:szCs w:val="19"/>
              </w:rPr>
              <w:t>Online meeting</w:t>
            </w:r>
          </w:p>
        </w:tc>
        <w:tc>
          <w:tcPr>
            <w:tcW w:w="189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2D2C7A21" w14:textId="11CF6B96" w:rsidR="3F04BC06" w:rsidRDefault="3F04BC06">
            <w:r w:rsidRPr="3F04BC06">
              <w:rPr>
                <w:rFonts w:ascii="Calibri" w:eastAsia="Calibri" w:hAnsi="Calibri" w:cs="Calibri"/>
                <w:color w:val="000000" w:themeColor="text1"/>
                <w:sz w:val="19"/>
                <w:szCs w:val="19"/>
              </w:rPr>
              <w:t xml:space="preserve">Project Performance and Review Committee Members </w:t>
            </w:r>
          </w:p>
        </w:tc>
      </w:tr>
      <w:tr w:rsidR="3F04BC06" w14:paraId="0147649C" w14:textId="77777777" w:rsidTr="00AA7D9D">
        <w:trPr>
          <w:trHeight w:val="300"/>
        </w:trPr>
        <w:tc>
          <w:tcPr>
            <w:tcW w:w="23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50340F92" w14:textId="66082D08" w:rsidR="3F04BC06" w:rsidRDefault="3F04BC06">
            <w:r w:rsidRPr="3F04BC06">
              <w:rPr>
                <w:rFonts w:ascii="Calibri" w:eastAsia="Calibri" w:hAnsi="Calibri" w:cs="Calibri"/>
                <w:b/>
                <w:bCs/>
                <w:color w:val="000000" w:themeColor="text1"/>
                <w:sz w:val="18"/>
                <w:szCs w:val="18"/>
              </w:rPr>
              <w:t>Thursday, August 31</w:t>
            </w:r>
          </w:p>
        </w:tc>
        <w:tc>
          <w:tcPr>
            <w:tcW w:w="26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68C7BF6B" w14:textId="6F48C546" w:rsidR="3F04BC06" w:rsidRDefault="3F04BC06">
            <w:r w:rsidRPr="3F04BC06">
              <w:rPr>
                <w:rFonts w:ascii="Calibri" w:eastAsia="Calibri" w:hAnsi="Calibri" w:cs="Calibri"/>
                <w:color w:val="000000" w:themeColor="text1"/>
                <w:sz w:val="19"/>
                <w:szCs w:val="19"/>
              </w:rPr>
              <w:t>Initial Ranking is posted on CoC website</w:t>
            </w:r>
          </w:p>
        </w:tc>
        <w:tc>
          <w:tcPr>
            <w:tcW w:w="338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399121A6" w14:textId="706B400F" w:rsidR="3F04BC06" w:rsidRDefault="3F04BC06">
            <w:r w:rsidRPr="3F04BC06">
              <w:rPr>
                <w:rFonts w:ascii="Calibri" w:eastAsia="Calibri" w:hAnsi="Calibri" w:cs="Calibri"/>
                <w:color w:val="000000" w:themeColor="text1"/>
                <w:sz w:val="19"/>
                <w:szCs w:val="19"/>
              </w:rPr>
              <w:t>Online posting</w:t>
            </w:r>
          </w:p>
        </w:tc>
        <w:tc>
          <w:tcPr>
            <w:tcW w:w="189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4B65347D" w14:textId="61495495" w:rsidR="3F04BC06" w:rsidRDefault="3F04BC06">
            <w:r w:rsidRPr="3F04BC06">
              <w:rPr>
                <w:rFonts w:ascii="Calibri" w:eastAsia="Calibri" w:hAnsi="Calibri" w:cs="Calibri"/>
                <w:color w:val="000000" w:themeColor="text1"/>
                <w:sz w:val="19"/>
                <w:szCs w:val="19"/>
              </w:rPr>
              <w:t>New, expansion, and renewal projects</w:t>
            </w:r>
          </w:p>
        </w:tc>
      </w:tr>
      <w:tr w:rsidR="3F04BC06" w14:paraId="1B1963B9" w14:textId="77777777" w:rsidTr="00AA7D9D">
        <w:trPr>
          <w:trHeight w:val="300"/>
        </w:trPr>
        <w:tc>
          <w:tcPr>
            <w:tcW w:w="23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4FD5693A" w14:textId="1771314F" w:rsidR="3F04BC06" w:rsidRDefault="00567CBA">
            <w:r>
              <w:rPr>
                <w:rFonts w:ascii="Calibri" w:eastAsia="Calibri" w:hAnsi="Calibri" w:cs="Calibri"/>
                <w:b/>
                <w:bCs/>
                <w:color w:val="000000" w:themeColor="text1"/>
                <w:sz w:val="18"/>
                <w:szCs w:val="18"/>
              </w:rPr>
              <w:t>Wednesday</w:t>
            </w:r>
            <w:r w:rsidR="3F04BC06" w:rsidRPr="3F04BC06">
              <w:rPr>
                <w:rFonts w:ascii="Calibri" w:eastAsia="Calibri" w:hAnsi="Calibri" w:cs="Calibri"/>
                <w:b/>
                <w:bCs/>
                <w:color w:val="000000" w:themeColor="text1"/>
                <w:sz w:val="18"/>
                <w:szCs w:val="18"/>
              </w:rPr>
              <w:t xml:space="preserve">, September </w:t>
            </w:r>
            <w:r>
              <w:rPr>
                <w:rFonts w:ascii="Calibri" w:eastAsia="Calibri" w:hAnsi="Calibri" w:cs="Calibri"/>
                <w:b/>
                <w:bCs/>
                <w:color w:val="000000" w:themeColor="text1"/>
                <w:sz w:val="18"/>
                <w:szCs w:val="18"/>
              </w:rPr>
              <w:t>6</w:t>
            </w:r>
          </w:p>
        </w:tc>
        <w:tc>
          <w:tcPr>
            <w:tcW w:w="26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7A7EAF60" w14:textId="28369044" w:rsidR="3F04BC06" w:rsidRDefault="3F04BC06">
            <w:r w:rsidRPr="3F04BC06">
              <w:rPr>
                <w:rFonts w:ascii="Calibri" w:eastAsia="Calibri" w:hAnsi="Calibri" w:cs="Calibri"/>
                <w:color w:val="000000" w:themeColor="text1"/>
                <w:sz w:val="19"/>
                <w:szCs w:val="19"/>
              </w:rPr>
              <w:t xml:space="preserve">Appeals due </w:t>
            </w:r>
          </w:p>
        </w:tc>
        <w:tc>
          <w:tcPr>
            <w:tcW w:w="338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05CB0062" w14:textId="02F927C3" w:rsidR="3F04BC06" w:rsidRDefault="3F04BC06" w:rsidP="3F04BC06">
            <w:pPr>
              <w:spacing w:after="0"/>
            </w:pPr>
            <w:r w:rsidRPr="3F04BC06">
              <w:rPr>
                <w:rFonts w:ascii="Calibri" w:eastAsia="Calibri" w:hAnsi="Calibri" w:cs="Calibri"/>
                <w:color w:val="000000" w:themeColor="text1"/>
                <w:sz w:val="19"/>
                <w:szCs w:val="19"/>
              </w:rPr>
              <w:t xml:space="preserve">Email to Laquita Love-Limo at </w:t>
            </w:r>
            <w:hyperlink r:id="rId12">
              <w:r w:rsidRPr="3F04BC06">
                <w:rPr>
                  <w:rStyle w:val="Hyperlink"/>
                  <w:rFonts w:ascii="Calibri" w:eastAsia="Calibri" w:hAnsi="Calibri" w:cs="Calibri"/>
                </w:rPr>
                <w:t>Laquita@mesh-mn.org</w:t>
              </w:r>
            </w:hyperlink>
          </w:p>
        </w:tc>
        <w:tc>
          <w:tcPr>
            <w:tcW w:w="189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6E01F6A0" w14:textId="529F5458" w:rsidR="3F04BC06" w:rsidRDefault="3F04BC06">
            <w:r w:rsidRPr="3F04BC06">
              <w:rPr>
                <w:rFonts w:ascii="Calibri" w:eastAsia="Calibri" w:hAnsi="Calibri" w:cs="Calibri"/>
                <w:color w:val="000000" w:themeColor="text1"/>
                <w:sz w:val="19"/>
                <w:szCs w:val="19"/>
              </w:rPr>
              <w:t>Projects ranked in Tier 2</w:t>
            </w:r>
          </w:p>
        </w:tc>
      </w:tr>
      <w:tr w:rsidR="3F04BC06" w14:paraId="0BF3D280" w14:textId="77777777" w:rsidTr="00AA7D9D">
        <w:trPr>
          <w:trHeight w:val="300"/>
        </w:trPr>
        <w:tc>
          <w:tcPr>
            <w:tcW w:w="23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6C45F68E" w14:textId="5F0DCF5B" w:rsidR="3F04BC06" w:rsidRDefault="3F04BC06">
            <w:r w:rsidRPr="3F04BC06">
              <w:rPr>
                <w:rFonts w:ascii="Calibri" w:eastAsia="Calibri" w:hAnsi="Calibri" w:cs="Calibri"/>
                <w:b/>
                <w:bCs/>
                <w:color w:val="000000" w:themeColor="text1"/>
                <w:sz w:val="18"/>
                <w:szCs w:val="18"/>
              </w:rPr>
              <w:t>Friday, September 8</w:t>
            </w:r>
          </w:p>
        </w:tc>
        <w:tc>
          <w:tcPr>
            <w:tcW w:w="26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5D702F05" w14:textId="6FADFCBE" w:rsidR="3F04BC06" w:rsidRDefault="3F04BC06">
            <w:r w:rsidRPr="3F04BC06">
              <w:rPr>
                <w:rFonts w:ascii="Calibri" w:eastAsia="Calibri" w:hAnsi="Calibri" w:cs="Calibri"/>
                <w:color w:val="000000" w:themeColor="text1"/>
                <w:sz w:val="19"/>
                <w:szCs w:val="19"/>
              </w:rPr>
              <w:t xml:space="preserve">All project applications </w:t>
            </w:r>
            <w:r w:rsidR="00AC4BE6">
              <w:rPr>
                <w:rFonts w:ascii="Calibri" w:eastAsia="Calibri" w:hAnsi="Calibri" w:cs="Calibri"/>
                <w:color w:val="000000" w:themeColor="text1"/>
                <w:sz w:val="19"/>
                <w:szCs w:val="19"/>
              </w:rPr>
              <w:t>drafts</w:t>
            </w:r>
            <w:r w:rsidRPr="3F04BC06">
              <w:rPr>
                <w:rFonts w:ascii="Calibri" w:eastAsia="Calibri" w:hAnsi="Calibri" w:cs="Calibri"/>
                <w:color w:val="000000" w:themeColor="text1"/>
                <w:sz w:val="19"/>
                <w:szCs w:val="19"/>
              </w:rPr>
              <w:t xml:space="preserve"> </w:t>
            </w:r>
            <w:r w:rsidR="00215241">
              <w:rPr>
                <w:rFonts w:ascii="Calibri" w:eastAsia="Calibri" w:hAnsi="Calibri" w:cs="Calibri"/>
                <w:color w:val="000000" w:themeColor="text1"/>
                <w:sz w:val="19"/>
                <w:szCs w:val="19"/>
              </w:rPr>
              <w:t xml:space="preserve">entered </w:t>
            </w:r>
            <w:r w:rsidRPr="3F04BC06">
              <w:rPr>
                <w:rFonts w:ascii="Calibri" w:eastAsia="Calibri" w:hAnsi="Calibri" w:cs="Calibri"/>
                <w:color w:val="000000" w:themeColor="text1"/>
                <w:sz w:val="19"/>
                <w:szCs w:val="19"/>
              </w:rPr>
              <w:t xml:space="preserve">in e-snaps. </w:t>
            </w:r>
          </w:p>
        </w:tc>
        <w:tc>
          <w:tcPr>
            <w:tcW w:w="338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7F05696A" w14:textId="2173117E" w:rsidR="3F04BC06" w:rsidRPr="00CB41A3" w:rsidRDefault="3F04BC06">
            <w:pPr>
              <w:rPr>
                <w:b/>
              </w:rPr>
            </w:pPr>
            <w:r w:rsidRPr="3F04BC06">
              <w:rPr>
                <w:rFonts w:ascii="Calibri" w:eastAsia="Calibri" w:hAnsi="Calibri" w:cs="Calibri"/>
                <w:color w:val="000000" w:themeColor="text1"/>
                <w:sz w:val="19"/>
                <w:szCs w:val="19"/>
              </w:rPr>
              <w:t xml:space="preserve">Done in e-snaps by applicants. </w:t>
            </w:r>
            <w:r w:rsidR="004E6A83" w:rsidRPr="3F04BC06">
              <w:rPr>
                <w:rFonts w:ascii="Calibri" w:eastAsia="Calibri" w:hAnsi="Calibri" w:cs="Calibri"/>
                <w:color w:val="000000" w:themeColor="text1"/>
                <w:sz w:val="19"/>
                <w:szCs w:val="19"/>
              </w:rPr>
              <w:t xml:space="preserve">Email PDF to Laquita Love-Limo at </w:t>
            </w:r>
            <w:hyperlink r:id="rId13">
              <w:r w:rsidR="004E6A83" w:rsidRPr="3F04BC06">
                <w:rPr>
                  <w:rStyle w:val="Hyperlink"/>
                  <w:rFonts w:ascii="Calibri" w:eastAsia="Calibri" w:hAnsi="Calibri" w:cs="Calibri"/>
                  <w:sz w:val="19"/>
                  <w:szCs w:val="19"/>
                </w:rPr>
                <w:t>Laquita@mesh-mn.org</w:t>
              </w:r>
            </w:hyperlink>
            <w:r w:rsidR="004E6A83">
              <w:rPr>
                <w:rStyle w:val="Hyperlink"/>
                <w:rFonts w:ascii="Calibri" w:eastAsia="Calibri" w:hAnsi="Calibri" w:cs="Calibri"/>
                <w:sz w:val="19"/>
                <w:szCs w:val="19"/>
              </w:rPr>
              <w:t xml:space="preserve"> </w:t>
            </w:r>
            <w:r w:rsidR="00CB41A3" w:rsidRPr="00BE5EB5">
              <w:rPr>
                <w:rStyle w:val="Hyperlink"/>
                <w:rFonts w:ascii="Calibri" w:eastAsia="Calibri" w:hAnsi="Calibri" w:cs="Calibri"/>
                <w:sz w:val="19"/>
                <w:szCs w:val="19"/>
                <w:u w:val="none"/>
              </w:rPr>
              <w:t xml:space="preserve">    </w:t>
            </w:r>
            <w:r w:rsidR="00CB41A3">
              <w:rPr>
                <w:rStyle w:val="Hyperlink"/>
                <w:rFonts w:ascii="Calibri" w:eastAsia="Calibri" w:hAnsi="Calibri" w:cs="Calibri"/>
                <w:b/>
                <w:bCs/>
                <w:color w:val="auto"/>
                <w:sz w:val="19"/>
                <w:szCs w:val="19"/>
              </w:rPr>
              <w:t>DO NOT SUBMITT!!!</w:t>
            </w:r>
          </w:p>
        </w:tc>
        <w:tc>
          <w:tcPr>
            <w:tcW w:w="189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1EC31BEC" w14:textId="7B022A05" w:rsidR="3F04BC06" w:rsidRDefault="3F04BC06">
            <w:r w:rsidRPr="3F04BC06">
              <w:rPr>
                <w:rFonts w:ascii="Calibri" w:eastAsia="Calibri" w:hAnsi="Calibri" w:cs="Calibri"/>
                <w:color w:val="000000" w:themeColor="text1"/>
                <w:sz w:val="19"/>
                <w:szCs w:val="19"/>
              </w:rPr>
              <w:t xml:space="preserve"> New, expansion, renewal, planning projects</w:t>
            </w:r>
          </w:p>
        </w:tc>
      </w:tr>
      <w:tr w:rsidR="3F04BC06" w14:paraId="0D2CF816" w14:textId="77777777" w:rsidTr="00AA7D9D">
        <w:trPr>
          <w:trHeight w:val="300"/>
        </w:trPr>
        <w:tc>
          <w:tcPr>
            <w:tcW w:w="23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05829CAD" w14:textId="5E318417" w:rsidR="3F04BC06" w:rsidRDefault="3F04BC06">
            <w:r w:rsidRPr="3F04BC06">
              <w:rPr>
                <w:rFonts w:ascii="Calibri" w:eastAsia="Calibri" w:hAnsi="Calibri" w:cs="Calibri"/>
                <w:b/>
                <w:bCs/>
                <w:color w:val="000000" w:themeColor="text1"/>
                <w:sz w:val="18"/>
                <w:szCs w:val="18"/>
              </w:rPr>
              <w:t>Monday, September 11</w:t>
            </w:r>
          </w:p>
        </w:tc>
        <w:tc>
          <w:tcPr>
            <w:tcW w:w="26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2803969B" w14:textId="6365DDB2" w:rsidR="3F04BC06" w:rsidRDefault="3F04BC06">
            <w:r w:rsidRPr="3F04BC06">
              <w:rPr>
                <w:rFonts w:ascii="Calibri" w:eastAsia="Calibri" w:hAnsi="Calibri" w:cs="Calibri"/>
                <w:color w:val="000000" w:themeColor="text1"/>
                <w:sz w:val="19"/>
                <w:szCs w:val="19"/>
              </w:rPr>
              <w:t xml:space="preserve">Voting to approve Project Ranking &amp; Collaborative Application is completed. </w:t>
            </w:r>
          </w:p>
        </w:tc>
        <w:tc>
          <w:tcPr>
            <w:tcW w:w="338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77655D36" w14:textId="234F888A" w:rsidR="3F04BC06" w:rsidRDefault="3F04BC06">
            <w:r w:rsidRPr="3F04BC06">
              <w:rPr>
                <w:rFonts w:ascii="Calibri" w:eastAsia="Calibri" w:hAnsi="Calibri" w:cs="Calibri"/>
                <w:color w:val="000000" w:themeColor="text1"/>
                <w:sz w:val="19"/>
                <w:szCs w:val="19"/>
              </w:rPr>
              <w:t xml:space="preserve">Email voting </w:t>
            </w:r>
          </w:p>
        </w:tc>
        <w:tc>
          <w:tcPr>
            <w:tcW w:w="189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009FE22F" w14:textId="5DBF24B2" w:rsidR="3F04BC06" w:rsidRDefault="3F04BC06">
            <w:r w:rsidRPr="3F04BC06">
              <w:rPr>
                <w:rFonts w:ascii="Calibri" w:eastAsia="Calibri" w:hAnsi="Calibri" w:cs="Calibri"/>
                <w:color w:val="000000" w:themeColor="text1"/>
                <w:sz w:val="19"/>
                <w:szCs w:val="19"/>
              </w:rPr>
              <w:t xml:space="preserve">CoC Governing Board </w:t>
            </w:r>
          </w:p>
        </w:tc>
      </w:tr>
      <w:tr w:rsidR="3F04BC06" w14:paraId="3B888642" w14:textId="77777777" w:rsidTr="00AA7D9D">
        <w:trPr>
          <w:trHeight w:val="300"/>
        </w:trPr>
        <w:tc>
          <w:tcPr>
            <w:tcW w:w="23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2181F0E1" w14:textId="3DE46296" w:rsidR="3F04BC06" w:rsidRDefault="3F04BC06">
            <w:r w:rsidRPr="3F04BC06">
              <w:rPr>
                <w:rFonts w:ascii="Calibri" w:eastAsia="Calibri" w:hAnsi="Calibri" w:cs="Calibri"/>
                <w:b/>
                <w:bCs/>
                <w:color w:val="000000" w:themeColor="text1"/>
                <w:sz w:val="18"/>
                <w:szCs w:val="18"/>
              </w:rPr>
              <w:t>Wednesday, September 13</w:t>
            </w:r>
          </w:p>
        </w:tc>
        <w:tc>
          <w:tcPr>
            <w:tcW w:w="26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28C02D11" w14:textId="7150AEE7" w:rsidR="3F04BC06" w:rsidRDefault="3F04BC06">
            <w:r w:rsidRPr="3F04BC06">
              <w:rPr>
                <w:rFonts w:ascii="Calibri" w:eastAsia="Calibri" w:hAnsi="Calibri" w:cs="Calibri"/>
                <w:color w:val="000000" w:themeColor="text1"/>
                <w:sz w:val="19"/>
                <w:szCs w:val="19"/>
              </w:rPr>
              <w:t xml:space="preserve">Final Project Ranking and CoC Collaborative Application posted on CoC website. </w:t>
            </w:r>
          </w:p>
        </w:tc>
        <w:tc>
          <w:tcPr>
            <w:tcW w:w="338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4944DD3A" w14:textId="75A7BF21" w:rsidR="008E339F" w:rsidRDefault="003C44E3">
            <w:pPr>
              <w:rPr>
                <w:rFonts w:ascii="Calibri" w:eastAsia="Calibri" w:hAnsi="Calibri" w:cs="Calibri"/>
                <w:sz w:val="19"/>
                <w:szCs w:val="19"/>
              </w:rPr>
            </w:pPr>
            <w:hyperlink r:id="rId14" w:history="1">
              <w:r w:rsidR="008E339F" w:rsidRPr="00BD2E32">
                <w:rPr>
                  <w:rStyle w:val="Hyperlink"/>
                  <w:rFonts w:ascii="Calibri" w:eastAsia="Calibri" w:hAnsi="Calibri" w:cs="Calibri"/>
                  <w:sz w:val="19"/>
                  <w:szCs w:val="19"/>
                </w:rPr>
                <w:t>www.smacmn.org/nofo</w:t>
              </w:r>
            </w:hyperlink>
          </w:p>
          <w:p w14:paraId="3D5F104D" w14:textId="49A13A42" w:rsidR="3F04BC06" w:rsidRDefault="3F04BC06">
            <w:r w:rsidRPr="3F04BC06">
              <w:rPr>
                <w:rFonts w:ascii="Calibri" w:eastAsia="Calibri" w:hAnsi="Calibri" w:cs="Calibri"/>
                <w:color w:val="000000" w:themeColor="text1"/>
                <w:sz w:val="19"/>
                <w:szCs w:val="19"/>
              </w:rPr>
              <w:t xml:space="preserve">  </w:t>
            </w:r>
          </w:p>
        </w:tc>
        <w:tc>
          <w:tcPr>
            <w:tcW w:w="189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4488CEC8" w14:textId="4458177B" w:rsidR="3F04BC06" w:rsidRDefault="3F04BC06">
            <w:r w:rsidRPr="3F04BC06">
              <w:rPr>
                <w:rFonts w:ascii="Calibri" w:eastAsia="Calibri" w:hAnsi="Calibri" w:cs="Calibri"/>
                <w:color w:val="000000" w:themeColor="text1"/>
                <w:sz w:val="19"/>
                <w:szCs w:val="19"/>
              </w:rPr>
              <w:t xml:space="preserve"> </w:t>
            </w:r>
          </w:p>
        </w:tc>
      </w:tr>
      <w:tr w:rsidR="00F65A31" w14:paraId="1835915E" w14:textId="77777777" w:rsidTr="00AA7D9D">
        <w:trPr>
          <w:trHeight w:val="300"/>
        </w:trPr>
        <w:tc>
          <w:tcPr>
            <w:tcW w:w="23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23A31D0C" w14:textId="78A1AA5D" w:rsidR="00F65A31" w:rsidRPr="3F04BC06" w:rsidRDefault="00BF33C2">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 xml:space="preserve">Monday, </w:t>
            </w:r>
            <w:r w:rsidR="00EC6E5F">
              <w:rPr>
                <w:rFonts w:ascii="Calibri" w:eastAsia="Calibri" w:hAnsi="Calibri" w:cs="Calibri"/>
                <w:b/>
                <w:bCs/>
                <w:color w:val="000000" w:themeColor="text1"/>
                <w:sz w:val="18"/>
                <w:szCs w:val="18"/>
              </w:rPr>
              <w:t>September 21</w:t>
            </w:r>
          </w:p>
        </w:tc>
        <w:tc>
          <w:tcPr>
            <w:tcW w:w="26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439E1E1D" w14:textId="68C12A54" w:rsidR="00F65A31" w:rsidRPr="3F04BC06" w:rsidRDefault="009B4279">
            <w:pPr>
              <w:rPr>
                <w:rFonts w:ascii="Calibri" w:eastAsia="Calibri" w:hAnsi="Calibri" w:cs="Calibri"/>
                <w:color w:val="000000" w:themeColor="text1"/>
                <w:sz w:val="19"/>
                <w:szCs w:val="19"/>
              </w:rPr>
            </w:pPr>
            <w:r>
              <w:rPr>
                <w:rFonts w:ascii="Calibri" w:eastAsia="Calibri" w:hAnsi="Calibri" w:cs="Calibri"/>
                <w:color w:val="000000" w:themeColor="text1"/>
                <w:sz w:val="19"/>
                <w:szCs w:val="19"/>
              </w:rPr>
              <w:t>Final Project Submission in e-snaps</w:t>
            </w:r>
          </w:p>
        </w:tc>
        <w:tc>
          <w:tcPr>
            <w:tcW w:w="338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23F626B0" w14:textId="3AD67131" w:rsidR="00F65A31" w:rsidRPr="3F04BC06" w:rsidRDefault="00524CF7">
            <w:pPr>
              <w:rPr>
                <w:rFonts w:ascii="Calibri" w:eastAsia="Calibri" w:hAnsi="Calibri" w:cs="Calibri"/>
                <w:color w:val="000000" w:themeColor="text1"/>
                <w:sz w:val="19"/>
                <w:szCs w:val="19"/>
              </w:rPr>
            </w:pPr>
            <w:r>
              <w:rPr>
                <w:rFonts w:ascii="Calibri" w:eastAsia="Calibri" w:hAnsi="Calibri" w:cs="Calibri"/>
                <w:color w:val="000000" w:themeColor="text1"/>
                <w:sz w:val="19"/>
                <w:szCs w:val="19"/>
              </w:rPr>
              <w:t xml:space="preserve">Laquita </w:t>
            </w:r>
            <w:r w:rsidR="00F037D2">
              <w:rPr>
                <w:rFonts w:ascii="Calibri" w:eastAsia="Calibri" w:hAnsi="Calibri" w:cs="Calibri"/>
                <w:color w:val="000000" w:themeColor="text1"/>
                <w:sz w:val="19"/>
                <w:szCs w:val="19"/>
              </w:rPr>
              <w:t xml:space="preserve">will send email </w:t>
            </w:r>
            <w:r w:rsidR="009C0BFE">
              <w:rPr>
                <w:rFonts w:ascii="Calibri" w:eastAsia="Calibri" w:hAnsi="Calibri" w:cs="Calibri"/>
                <w:color w:val="000000" w:themeColor="text1"/>
                <w:sz w:val="19"/>
                <w:szCs w:val="19"/>
              </w:rPr>
              <w:t>notification to</w:t>
            </w:r>
            <w:r w:rsidR="00F037D2">
              <w:rPr>
                <w:rFonts w:ascii="Calibri" w:eastAsia="Calibri" w:hAnsi="Calibri" w:cs="Calibri"/>
                <w:color w:val="000000" w:themeColor="text1"/>
                <w:sz w:val="19"/>
                <w:szCs w:val="19"/>
              </w:rPr>
              <w:t xml:space="preserve"> each project when they are approved to submit</w:t>
            </w:r>
          </w:p>
        </w:tc>
        <w:tc>
          <w:tcPr>
            <w:tcW w:w="189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tcMar>
              <w:left w:w="108" w:type="dxa"/>
              <w:right w:w="108" w:type="dxa"/>
            </w:tcMar>
          </w:tcPr>
          <w:p w14:paraId="3536F3D9" w14:textId="6587EE2B" w:rsidR="00F65A31" w:rsidRDefault="003747DA">
            <w:r w:rsidRPr="003747DA">
              <w:rPr>
                <w:sz w:val="20"/>
                <w:szCs w:val="20"/>
              </w:rPr>
              <w:t>New, expansion, and renewal projects</w:t>
            </w:r>
          </w:p>
        </w:tc>
      </w:tr>
      <w:tr w:rsidR="3F04BC06" w14:paraId="17F0D30B" w14:textId="77777777" w:rsidTr="00AA7D9D">
        <w:trPr>
          <w:trHeight w:val="300"/>
        </w:trPr>
        <w:tc>
          <w:tcPr>
            <w:tcW w:w="23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5013F136" w14:textId="2232C3EF" w:rsidR="3F04BC06" w:rsidRDefault="3F04BC06">
            <w:r w:rsidRPr="3F04BC06">
              <w:rPr>
                <w:rFonts w:ascii="Calibri" w:eastAsia="Calibri" w:hAnsi="Calibri" w:cs="Calibri"/>
                <w:b/>
                <w:bCs/>
                <w:color w:val="000000" w:themeColor="text1"/>
                <w:sz w:val="18"/>
                <w:szCs w:val="18"/>
              </w:rPr>
              <w:t>Monday, September 25</w:t>
            </w:r>
          </w:p>
        </w:tc>
        <w:tc>
          <w:tcPr>
            <w:tcW w:w="26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41A867D8" w14:textId="31B8FBB8" w:rsidR="3F04BC06" w:rsidRDefault="3F04BC06">
            <w:r w:rsidRPr="3F04BC06">
              <w:rPr>
                <w:rFonts w:ascii="Calibri" w:eastAsia="Calibri" w:hAnsi="Calibri" w:cs="Calibri"/>
                <w:color w:val="000000" w:themeColor="text1"/>
                <w:sz w:val="19"/>
                <w:szCs w:val="19"/>
              </w:rPr>
              <w:t>CoC Project Applications, Project Ranking, Project Planning Application and CoC Collaborative Application</w:t>
            </w:r>
            <w:r w:rsidRPr="3F04BC06">
              <w:rPr>
                <w:rFonts w:ascii="Calibri" w:eastAsia="Calibri" w:hAnsi="Calibri" w:cs="Calibri"/>
                <w:b/>
                <w:bCs/>
                <w:color w:val="000000" w:themeColor="text1"/>
                <w:sz w:val="19"/>
                <w:szCs w:val="19"/>
              </w:rPr>
              <w:t xml:space="preserve"> Submitted!</w:t>
            </w:r>
            <w:r w:rsidRPr="3F04BC06">
              <w:rPr>
                <w:rFonts w:ascii="Calibri" w:eastAsia="Calibri" w:hAnsi="Calibri" w:cs="Calibri"/>
                <w:color w:val="000000" w:themeColor="text1"/>
                <w:sz w:val="19"/>
                <w:szCs w:val="19"/>
              </w:rPr>
              <w:t xml:space="preserve"> </w:t>
            </w:r>
          </w:p>
        </w:tc>
        <w:tc>
          <w:tcPr>
            <w:tcW w:w="338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4DF3D109" w14:textId="30BC2AB5" w:rsidR="3F04BC06" w:rsidRDefault="3F04BC06">
            <w:r w:rsidRPr="3F04BC06">
              <w:rPr>
                <w:rFonts w:ascii="Calibri" w:eastAsia="Calibri" w:hAnsi="Calibri" w:cs="Calibri"/>
                <w:color w:val="000000" w:themeColor="text1"/>
                <w:sz w:val="19"/>
                <w:szCs w:val="19"/>
              </w:rPr>
              <w:t xml:space="preserve">e-snaps </w:t>
            </w:r>
          </w:p>
        </w:tc>
        <w:tc>
          <w:tcPr>
            <w:tcW w:w="189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E2F3" w:themeFill="accent1" w:themeFillTint="33"/>
            <w:tcMar>
              <w:left w:w="108" w:type="dxa"/>
              <w:right w:w="108" w:type="dxa"/>
            </w:tcMar>
          </w:tcPr>
          <w:p w14:paraId="1F90CAD5" w14:textId="28CE5A74" w:rsidR="3F04BC06" w:rsidRDefault="3F04BC06"/>
        </w:tc>
      </w:tr>
      <w:tr w:rsidR="3F04BC06" w14:paraId="7BBB5C02" w14:textId="77777777" w:rsidTr="00AA7D9D">
        <w:trPr>
          <w:trHeight w:val="300"/>
        </w:trPr>
        <w:tc>
          <w:tcPr>
            <w:tcW w:w="23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FFFFFF" w:themeFill="background1"/>
            <w:tcMar>
              <w:left w:w="108" w:type="dxa"/>
              <w:right w:w="108" w:type="dxa"/>
            </w:tcMar>
          </w:tcPr>
          <w:p w14:paraId="5092C90F" w14:textId="3E631DE1" w:rsidR="3F04BC06" w:rsidRDefault="3F04BC06">
            <w:r w:rsidRPr="3F04BC06">
              <w:rPr>
                <w:rFonts w:ascii="Calibri" w:eastAsia="Calibri" w:hAnsi="Calibri" w:cs="Calibri"/>
                <w:b/>
                <w:bCs/>
                <w:color w:val="000000" w:themeColor="text1"/>
                <w:sz w:val="19"/>
                <w:szCs w:val="19"/>
              </w:rPr>
              <w:t>Friday, September 28</w:t>
            </w:r>
          </w:p>
        </w:tc>
        <w:tc>
          <w:tcPr>
            <w:tcW w:w="261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FFFFFF" w:themeFill="background1"/>
            <w:tcMar>
              <w:left w:w="108" w:type="dxa"/>
              <w:right w:w="108" w:type="dxa"/>
            </w:tcMar>
          </w:tcPr>
          <w:p w14:paraId="294AF96F" w14:textId="5E9A395F" w:rsidR="3F04BC06" w:rsidRDefault="3F04BC06">
            <w:r w:rsidRPr="3F04BC06">
              <w:rPr>
                <w:rFonts w:ascii="Calibri" w:eastAsia="Calibri" w:hAnsi="Calibri" w:cs="Calibri"/>
                <w:color w:val="000000" w:themeColor="text1"/>
                <w:sz w:val="19"/>
                <w:szCs w:val="19"/>
              </w:rPr>
              <w:t xml:space="preserve">ABSOLUTE Deadline to HUD </w:t>
            </w:r>
          </w:p>
        </w:tc>
        <w:tc>
          <w:tcPr>
            <w:tcW w:w="3387"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FFFFFF" w:themeFill="background1"/>
            <w:tcMar>
              <w:left w:w="108" w:type="dxa"/>
              <w:right w:w="108" w:type="dxa"/>
            </w:tcMar>
          </w:tcPr>
          <w:p w14:paraId="096622F0" w14:textId="16F91BF4" w:rsidR="3F04BC06" w:rsidRDefault="3F04BC06">
            <w:r w:rsidRPr="3F04BC06">
              <w:rPr>
                <w:rFonts w:ascii="Calibri" w:eastAsia="Calibri" w:hAnsi="Calibri" w:cs="Calibri"/>
                <w:color w:val="000000" w:themeColor="text1"/>
                <w:sz w:val="19"/>
                <w:szCs w:val="19"/>
              </w:rPr>
              <w:t xml:space="preserve"> </w:t>
            </w:r>
          </w:p>
        </w:tc>
        <w:tc>
          <w:tcPr>
            <w:tcW w:w="1893"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FFFFFF" w:themeFill="background1"/>
            <w:tcMar>
              <w:left w:w="108" w:type="dxa"/>
              <w:right w:w="108" w:type="dxa"/>
            </w:tcMar>
          </w:tcPr>
          <w:p w14:paraId="534948A7" w14:textId="4C6D51A3" w:rsidR="3F04BC06" w:rsidRDefault="3F04BC06" w:rsidP="3F04BC06">
            <w:pPr>
              <w:rPr>
                <w:rFonts w:ascii="Calibri" w:eastAsia="Calibri" w:hAnsi="Calibri" w:cs="Calibri"/>
                <w:color w:val="000000" w:themeColor="text1"/>
                <w:sz w:val="19"/>
                <w:szCs w:val="19"/>
              </w:rPr>
            </w:pPr>
          </w:p>
        </w:tc>
      </w:tr>
    </w:tbl>
    <w:p w14:paraId="5B2B2701" w14:textId="54E49B97" w:rsidR="00715180" w:rsidRDefault="00715180" w:rsidP="00D01B92">
      <w:pPr>
        <w:pBdr>
          <w:bottom w:val="single" w:sz="12" w:space="1" w:color="auto"/>
        </w:pBdr>
        <w:tabs>
          <w:tab w:val="left" w:pos="2790"/>
        </w:tabs>
        <w:jc w:val="center"/>
        <w:rPr>
          <w:sz w:val="32"/>
          <w:szCs w:val="32"/>
        </w:rPr>
      </w:pPr>
    </w:p>
    <w:p w14:paraId="2184408F" w14:textId="4AFF759A" w:rsidR="00D01B92" w:rsidRPr="00D01B92" w:rsidRDefault="006F68C7" w:rsidP="00D01B92">
      <w:pPr>
        <w:pBdr>
          <w:bottom w:val="single" w:sz="12" w:space="1" w:color="auto"/>
        </w:pBdr>
        <w:tabs>
          <w:tab w:val="left" w:pos="2790"/>
        </w:tabs>
        <w:jc w:val="center"/>
        <w:rPr>
          <w:sz w:val="32"/>
          <w:szCs w:val="32"/>
        </w:rPr>
      </w:pPr>
      <w:r>
        <w:rPr>
          <w:sz w:val="32"/>
          <w:szCs w:val="32"/>
        </w:rPr>
        <w:t>2023</w:t>
      </w:r>
      <w:r w:rsidR="00D01B92" w:rsidRPr="00D01B92">
        <w:rPr>
          <w:sz w:val="32"/>
          <w:szCs w:val="32"/>
        </w:rPr>
        <w:t xml:space="preserve"> SMAC </w:t>
      </w:r>
      <w:r w:rsidR="3F04BC06" w:rsidRPr="3F04BC06">
        <w:rPr>
          <w:sz w:val="32"/>
          <w:szCs w:val="32"/>
        </w:rPr>
        <w:t>NOFO</w:t>
      </w:r>
      <w:r w:rsidR="00D01B92" w:rsidRPr="00D01B92">
        <w:rPr>
          <w:sz w:val="32"/>
          <w:szCs w:val="32"/>
        </w:rPr>
        <w:t xml:space="preserve"> Policies</w:t>
      </w:r>
    </w:p>
    <w:p w14:paraId="5CCEB1B7" w14:textId="77777777" w:rsidR="008E7F42" w:rsidRPr="000E19C3" w:rsidRDefault="008E7F42" w:rsidP="008E7F42">
      <w:pPr>
        <w:keepNext/>
        <w:keepLines/>
        <w:spacing w:before="240" w:after="0" w:line="276" w:lineRule="auto"/>
        <w:outlineLvl w:val="0"/>
        <w:rPr>
          <w:rFonts w:eastAsia="Georgia" w:cstheme="minorHAnsi"/>
          <w:color w:val="2F5496" w:themeColor="accent1" w:themeShade="BF"/>
          <w:sz w:val="32"/>
          <w:szCs w:val="32"/>
        </w:rPr>
      </w:pPr>
      <w:r w:rsidRPr="000E19C3">
        <w:rPr>
          <w:rFonts w:eastAsia="Georgia" w:cstheme="minorHAnsi"/>
          <w:color w:val="2F5496" w:themeColor="accent1" w:themeShade="BF"/>
          <w:sz w:val="32"/>
          <w:szCs w:val="32"/>
        </w:rPr>
        <w:t>Reallocation:</w:t>
      </w:r>
    </w:p>
    <w:p w14:paraId="0084AF7F" w14:textId="77777777" w:rsidR="008E7F42" w:rsidRPr="000E19C3" w:rsidRDefault="008E7F42" w:rsidP="008E7F42">
      <w:pPr>
        <w:numPr>
          <w:ilvl w:val="0"/>
          <w:numId w:val="20"/>
        </w:numPr>
        <w:spacing w:after="200" w:line="276" w:lineRule="auto"/>
        <w:contextualSpacing/>
        <w:rPr>
          <w:rFonts w:cstheme="minorHAnsi"/>
        </w:rPr>
      </w:pPr>
      <w:r w:rsidRPr="000E19C3">
        <w:rPr>
          <w:rFonts w:cstheme="minorHAnsi"/>
        </w:rPr>
        <w:t xml:space="preserve">Voluntary reallocation will always be fully explored first from all renewal projects.   </w:t>
      </w:r>
    </w:p>
    <w:p w14:paraId="00EB7A6D" w14:textId="594EB773" w:rsidR="00AD26C3" w:rsidRDefault="008E7F42">
      <w:pPr>
        <w:numPr>
          <w:ilvl w:val="0"/>
          <w:numId w:val="20"/>
        </w:numPr>
        <w:spacing w:after="0" w:line="240" w:lineRule="auto"/>
        <w:rPr>
          <w:rFonts w:cstheme="minorHAnsi"/>
        </w:rPr>
      </w:pPr>
      <w:r w:rsidRPr="00EC372E">
        <w:rPr>
          <w:rFonts w:cstheme="minorHAnsi"/>
        </w:rPr>
        <w:t xml:space="preserve">If voluntary reallocation does not establish enough funding to create a sustainable project, SMAC will consider all projects scoring in the bottom 1/3 eligible to be considered for Reallocation. </w:t>
      </w:r>
      <w:r w:rsidRPr="00AD26C3">
        <w:rPr>
          <w:rFonts w:cstheme="minorHAnsi"/>
        </w:rPr>
        <w:t>(It is anticipated that SMAC will have 18 renewal projects in 202</w:t>
      </w:r>
      <w:r w:rsidR="00EC372E" w:rsidRPr="00AD26C3">
        <w:rPr>
          <w:rFonts w:cstheme="minorHAnsi"/>
        </w:rPr>
        <w:t>3</w:t>
      </w:r>
      <w:r w:rsidRPr="00AD26C3">
        <w:rPr>
          <w:rFonts w:cstheme="minorHAnsi"/>
        </w:rPr>
        <w:t>.</w:t>
      </w:r>
      <w:r w:rsidR="00AD26C3" w:rsidRPr="00AD26C3">
        <w:rPr>
          <w:rFonts w:cstheme="minorHAnsi"/>
        </w:rPr>
        <w:t>)</w:t>
      </w:r>
    </w:p>
    <w:p w14:paraId="1A494926" w14:textId="5EA87DB5" w:rsidR="008E7F42" w:rsidRPr="00EC372E" w:rsidRDefault="008E7F42">
      <w:pPr>
        <w:numPr>
          <w:ilvl w:val="0"/>
          <w:numId w:val="20"/>
        </w:numPr>
        <w:spacing w:after="0" w:line="240" w:lineRule="auto"/>
        <w:rPr>
          <w:rFonts w:cstheme="minorHAnsi"/>
        </w:rPr>
      </w:pPr>
      <w:r w:rsidRPr="00EC372E">
        <w:rPr>
          <w:rFonts w:cstheme="minorHAnsi"/>
        </w:rPr>
        <w:t>If the project scores below 65% of the total points available to that project, the project will be considered for reallocation or a mandatory improvement plan.</w:t>
      </w:r>
    </w:p>
    <w:p w14:paraId="0888040F" w14:textId="77777777" w:rsidR="008E7F42" w:rsidRPr="000E19C3" w:rsidRDefault="008E7F42" w:rsidP="008E7F42">
      <w:pPr>
        <w:spacing w:after="0" w:line="240" w:lineRule="auto"/>
        <w:rPr>
          <w:rFonts w:cstheme="minorHAnsi"/>
          <w:i/>
          <w:u w:val="single"/>
        </w:rPr>
      </w:pPr>
      <w:r w:rsidRPr="000E19C3">
        <w:rPr>
          <w:rFonts w:cstheme="minorHAnsi"/>
          <w:i/>
          <w:u w:val="single"/>
        </w:rPr>
        <w:t>Additional Considerations:</w:t>
      </w:r>
    </w:p>
    <w:p w14:paraId="65107157" w14:textId="7E02F849" w:rsidR="008E7F42" w:rsidRPr="000E19C3" w:rsidRDefault="008E7F42" w:rsidP="008E7F42">
      <w:pPr>
        <w:numPr>
          <w:ilvl w:val="1"/>
          <w:numId w:val="20"/>
        </w:numPr>
        <w:spacing w:after="200" w:line="276" w:lineRule="auto"/>
        <w:contextualSpacing/>
        <w:rPr>
          <w:rFonts w:eastAsia="Georgia" w:cstheme="minorHAnsi"/>
        </w:rPr>
      </w:pPr>
      <w:r w:rsidRPr="000E19C3">
        <w:rPr>
          <w:rFonts w:eastAsia="Georgia" w:cstheme="minorHAnsi"/>
        </w:rPr>
        <w:t>Historical scoring data- The Monitoring and Evaluation Committee will review if the project has scored in the bottom 1/3 past 3 NOF</w:t>
      </w:r>
      <w:r w:rsidR="00C35CA8" w:rsidRPr="000E19C3">
        <w:rPr>
          <w:rFonts w:eastAsia="Georgia" w:cstheme="minorHAnsi"/>
        </w:rPr>
        <w:t>O</w:t>
      </w:r>
      <w:r w:rsidRPr="000E19C3">
        <w:rPr>
          <w:rFonts w:eastAsia="Georgia" w:cstheme="minorHAnsi"/>
        </w:rPr>
        <w:t xml:space="preserve"> competitions.</w:t>
      </w:r>
    </w:p>
    <w:p w14:paraId="42D8F1CB" w14:textId="77777777" w:rsidR="008E7F42" w:rsidRPr="000E19C3" w:rsidRDefault="008E7F42" w:rsidP="008E7F42">
      <w:pPr>
        <w:numPr>
          <w:ilvl w:val="1"/>
          <w:numId w:val="20"/>
        </w:numPr>
        <w:spacing w:after="200" w:line="276" w:lineRule="auto"/>
        <w:contextualSpacing/>
        <w:rPr>
          <w:rFonts w:eastAsia="Georgia" w:cstheme="minorHAnsi"/>
        </w:rPr>
      </w:pPr>
      <w:r w:rsidRPr="000E19C3">
        <w:rPr>
          <w:rFonts w:eastAsia="Georgia" w:cstheme="minorHAnsi"/>
        </w:rPr>
        <w:t xml:space="preserve">Cost Effectiveness of project- The total HUD grant award amount will be divided by the number of successful outcomes. Successful outcome for all projects (other than PSH) is exiting to permanent housing.  Successful outcome for PSH includes exits to permanent housing and remaining in permanent housing.  </w:t>
      </w:r>
    </w:p>
    <w:p w14:paraId="17C0D4C3" w14:textId="77777777" w:rsidR="008E7F42" w:rsidRPr="000E19C3" w:rsidRDefault="008E7F42" w:rsidP="008E7F42">
      <w:pPr>
        <w:numPr>
          <w:ilvl w:val="1"/>
          <w:numId w:val="20"/>
        </w:numPr>
        <w:spacing w:after="200" w:line="276" w:lineRule="auto"/>
        <w:contextualSpacing/>
        <w:rPr>
          <w:rFonts w:eastAsia="Georgia" w:cstheme="minorHAnsi"/>
        </w:rPr>
      </w:pPr>
      <w:r w:rsidRPr="000E19C3">
        <w:rPr>
          <w:rFonts w:eastAsia="Georgia" w:cstheme="minorHAnsi"/>
        </w:rPr>
        <w:t>Coordinated Entry data- The Ranking Committee will review Coordinated Entry data and other priority setting data used by the Governing Board to ensure needs and gaps are being met across the geography of the CoC.</w:t>
      </w:r>
    </w:p>
    <w:p w14:paraId="5BAEF26A" w14:textId="77777777" w:rsidR="008E7F42" w:rsidRPr="000E19C3" w:rsidRDefault="008E7F42" w:rsidP="008E7F42">
      <w:pPr>
        <w:spacing w:after="0"/>
        <w:ind w:left="720"/>
        <w:contextualSpacing/>
        <w:rPr>
          <w:rFonts w:cstheme="minorHAnsi"/>
        </w:rPr>
      </w:pPr>
    </w:p>
    <w:p w14:paraId="6196A17A" w14:textId="77777777" w:rsidR="008E7F42" w:rsidRPr="000E19C3" w:rsidRDefault="008E7F42" w:rsidP="008E7F42">
      <w:pPr>
        <w:spacing w:after="0"/>
        <w:ind w:left="720"/>
        <w:contextualSpacing/>
        <w:rPr>
          <w:rFonts w:cstheme="minorHAnsi"/>
        </w:rPr>
      </w:pPr>
      <w:r w:rsidRPr="000E19C3">
        <w:rPr>
          <w:rFonts w:eastAsia="Georgia" w:cstheme="minorHAnsi"/>
          <w:u w:val="single"/>
        </w:rPr>
        <w:t>Example</w:t>
      </w:r>
    </w:p>
    <w:p w14:paraId="6ABD9E68" w14:textId="77777777" w:rsidR="008E7F42" w:rsidRPr="000E19C3" w:rsidRDefault="008E7F42" w:rsidP="008E7F42">
      <w:pPr>
        <w:spacing w:after="0"/>
        <w:ind w:left="720"/>
        <w:contextualSpacing/>
        <w:rPr>
          <w:rFonts w:eastAsia="Georgia" w:cstheme="minorHAnsi"/>
        </w:rPr>
      </w:pPr>
      <w:r w:rsidRPr="000E19C3">
        <w:rPr>
          <w:rFonts w:eastAsia="Georgia" w:cstheme="minorHAnsi"/>
        </w:rPr>
        <w:t>A non-PSH project gets $100,000 grant.  25 households successfully went to permanent housing.  The cost per successful outcome is:  $4,000.</w:t>
      </w:r>
    </w:p>
    <w:p w14:paraId="0772FADD" w14:textId="77777777" w:rsidR="008E7F42" w:rsidRPr="000E19C3" w:rsidRDefault="008E7F42" w:rsidP="008E7F42">
      <w:pPr>
        <w:spacing w:after="0"/>
        <w:ind w:left="720"/>
        <w:contextualSpacing/>
        <w:rPr>
          <w:rFonts w:eastAsia="Georgia" w:cstheme="minorHAnsi"/>
        </w:rPr>
      </w:pPr>
    </w:p>
    <w:p w14:paraId="610EA628" w14:textId="77777777" w:rsidR="008E7F42" w:rsidRPr="000E19C3" w:rsidRDefault="008E7F42" w:rsidP="008E7F42">
      <w:pPr>
        <w:spacing w:after="0"/>
        <w:ind w:left="720"/>
        <w:contextualSpacing/>
        <w:rPr>
          <w:rFonts w:eastAsia="Georgia" w:cstheme="minorHAnsi"/>
        </w:rPr>
      </w:pPr>
      <w:r w:rsidRPr="000E19C3">
        <w:rPr>
          <w:rFonts w:eastAsia="Georgia" w:cstheme="minorHAnsi"/>
        </w:rPr>
        <w:t>A PSH project gets $100,000 grant. 5 households successfully went to permanent housing. 4 households remain in permanent housing. The cost per successful outcome is:  $11,111.</w:t>
      </w:r>
    </w:p>
    <w:p w14:paraId="0A093D60" w14:textId="77777777" w:rsidR="008E7F42" w:rsidRPr="000E19C3" w:rsidRDefault="008E7F42" w:rsidP="008E7F42">
      <w:pPr>
        <w:rPr>
          <w:rFonts w:eastAsia="Georgia" w:cstheme="minorHAnsi"/>
        </w:rPr>
      </w:pPr>
    </w:p>
    <w:p w14:paraId="1F84547C" w14:textId="008E16CB" w:rsidR="008E7F42" w:rsidRPr="000E19C3" w:rsidRDefault="008E7F42" w:rsidP="008E7F42">
      <w:pPr>
        <w:rPr>
          <w:rFonts w:eastAsia="Georgia" w:cstheme="minorHAnsi"/>
        </w:rPr>
      </w:pPr>
      <w:r w:rsidRPr="000E19C3">
        <w:rPr>
          <w:rFonts w:eastAsia="Georgia" w:cstheme="minorHAnsi"/>
        </w:rPr>
        <w:t>The Monitoring and Evaluation Committee will make the final decision regarding which projects will be recommended to the Governing Board for Reallocation.  For the 202</w:t>
      </w:r>
      <w:r w:rsidR="00B638C3" w:rsidRPr="000E19C3">
        <w:rPr>
          <w:rFonts w:eastAsia="Georgia" w:cstheme="minorHAnsi"/>
        </w:rPr>
        <w:t>3</w:t>
      </w:r>
      <w:r w:rsidRPr="000E19C3">
        <w:rPr>
          <w:rFonts w:eastAsia="Georgia" w:cstheme="minorHAnsi"/>
        </w:rPr>
        <w:t xml:space="preserve"> competition the Ranking Committee should consider offering Technical Assistance to the bottom 1/3 of projects as an alternative to Reallocation due to recent implementation of the current scoring tool and reallocation approach.</w:t>
      </w:r>
    </w:p>
    <w:p w14:paraId="32A9CCE6" w14:textId="77777777" w:rsidR="008E7F42" w:rsidRPr="000E19C3" w:rsidRDefault="008E7F42" w:rsidP="008E7F42">
      <w:pPr>
        <w:keepNext/>
        <w:keepLines/>
        <w:spacing w:before="240" w:after="0" w:line="276" w:lineRule="auto"/>
        <w:outlineLvl w:val="0"/>
        <w:rPr>
          <w:rFonts w:eastAsia="Georgia" w:cstheme="minorHAnsi"/>
          <w:color w:val="2F5496" w:themeColor="accent1" w:themeShade="BF"/>
          <w:sz w:val="32"/>
          <w:szCs w:val="32"/>
        </w:rPr>
      </w:pPr>
      <w:r w:rsidRPr="000E19C3">
        <w:rPr>
          <w:rFonts w:eastAsia="Georgia" w:cstheme="minorHAnsi"/>
          <w:color w:val="2F5496" w:themeColor="accent1" w:themeShade="BF"/>
          <w:sz w:val="32"/>
          <w:szCs w:val="32"/>
        </w:rPr>
        <w:t>Ranking:</w:t>
      </w:r>
    </w:p>
    <w:p w14:paraId="372661B5" w14:textId="77777777" w:rsidR="008E7F42" w:rsidRPr="000E19C3" w:rsidRDefault="008E7F42" w:rsidP="008E7F42">
      <w:pPr>
        <w:spacing w:after="0"/>
        <w:rPr>
          <w:rFonts w:eastAsia="Georgia" w:cstheme="minorHAnsi"/>
        </w:rPr>
      </w:pPr>
    </w:p>
    <w:p w14:paraId="66367B3B" w14:textId="2503702C" w:rsidR="008E7F42" w:rsidRPr="00EC372E" w:rsidRDefault="008E7F42" w:rsidP="008E7F42">
      <w:pPr>
        <w:numPr>
          <w:ilvl w:val="0"/>
          <w:numId w:val="19"/>
        </w:numPr>
        <w:spacing w:after="0" w:line="276" w:lineRule="auto"/>
        <w:contextualSpacing/>
        <w:rPr>
          <w:rFonts w:eastAsia="Georgia" w:cstheme="minorHAnsi"/>
        </w:rPr>
      </w:pPr>
      <w:r w:rsidRPr="000E19C3">
        <w:rPr>
          <w:rFonts w:eastAsia="Georgia" w:cstheme="minorHAnsi"/>
        </w:rPr>
        <w:t>HMIS grant will automatically be placed just above the SSO-CE grant(s) at the bottom of Tier 1.  SMAC highly values having a functional HMIS.  SMAC feels that it is essential to fund HMIS adequately and feels strongly that HMIS funds need to be protected in Tier 1.</w:t>
      </w:r>
    </w:p>
    <w:p w14:paraId="532266F1" w14:textId="77777777" w:rsidR="008E7F42" w:rsidRPr="000E19C3" w:rsidRDefault="008E7F42" w:rsidP="008E7F42">
      <w:pPr>
        <w:numPr>
          <w:ilvl w:val="0"/>
          <w:numId w:val="19"/>
        </w:numPr>
        <w:spacing w:after="0" w:line="276" w:lineRule="auto"/>
        <w:contextualSpacing/>
        <w:rPr>
          <w:rFonts w:eastAsia="Georgia" w:cstheme="minorHAnsi"/>
        </w:rPr>
      </w:pPr>
      <w:r w:rsidRPr="000E19C3">
        <w:rPr>
          <w:rFonts w:eastAsia="Georgia" w:cstheme="minorHAnsi"/>
        </w:rPr>
        <w:t xml:space="preserve">SSO-CE grants will be placed just above any </w:t>
      </w:r>
      <w:proofErr w:type="gramStart"/>
      <w:r w:rsidRPr="000E19C3">
        <w:rPr>
          <w:rFonts w:eastAsia="Georgia" w:cstheme="minorHAnsi"/>
        </w:rPr>
        <w:t>New</w:t>
      </w:r>
      <w:proofErr w:type="gramEnd"/>
      <w:r w:rsidRPr="000E19C3">
        <w:rPr>
          <w:rFonts w:eastAsia="Georgia" w:cstheme="minorHAnsi"/>
        </w:rPr>
        <w:t xml:space="preserve"> project(s) created through reallocation at the bottom of Tier 1.  To have a high quality, effective CES funding needs to be allocated to support infrastructure for CES activities.  HUD has not provided guidance for how to score and evaluate these projects but encourages CoCs to maintain funding for these grants.  Therefore, SMAC feels SSO-CE grants should be protected in Tier 1.</w:t>
      </w:r>
    </w:p>
    <w:p w14:paraId="69D40397" w14:textId="77777777" w:rsidR="008E7F42" w:rsidRPr="000E19C3" w:rsidRDefault="008E7F42" w:rsidP="008E7F42">
      <w:pPr>
        <w:ind w:left="720"/>
        <w:contextualSpacing/>
        <w:rPr>
          <w:rFonts w:eastAsia="Georgia" w:cstheme="minorHAnsi"/>
        </w:rPr>
      </w:pPr>
    </w:p>
    <w:p w14:paraId="059AA21C" w14:textId="77777777" w:rsidR="008E7F42" w:rsidRPr="000E19C3" w:rsidRDefault="008E7F42" w:rsidP="008E7F42">
      <w:pPr>
        <w:numPr>
          <w:ilvl w:val="0"/>
          <w:numId w:val="19"/>
        </w:numPr>
        <w:spacing w:after="0" w:line="276" w:lineRule="auto"/>
        <w:contextualSpacing/>
        <w:rPr>
          <w:rFonts w:eastAsia="Georgia" w:cstheme="minorHAnsi"/>
        </w:rPr>
      </w:pPr>
      <w:r w:rsidRPr="000E19C3">
        <w:rPr>
          <w:rFonts w:eastAsia="Georgia" w:cstheme="minorHAnsi"/>
        </w:rPr>
        <w:t xml:space="preserve">New projects created through reallocation will be ranked just above the new BONUS project(s) at the bottom of Tier 1.  </w:t>
      </w:r>
      <w:bookmarkStart w:id="0" w:name="_Hlk515364290"/>
      <w:r w:rsidRPr="000E19C3">
        <w:rPr>
          <w:rFonts w:eastAsia="Georgia" w:cstheme="minorHAnsi"/>
        </w:rPr>
        <w:t>New projects will all be scored through the RFP process and evaluated on the New Project Application score tool.  If a new project is selected through the RFP process it demonstrates the project will fill a gap in the CoC and will be prioritized as such through Tier 1 ranking.</w:t>
      </w:r>
    </w:p>
    <w:bookmarkEnd w:id="0"/>
    <w:p w14:paraId="1849AF04" w14:textId="77777777" w:rsidR="008E7F42" w:rsidRPr="000E19C3" w:rsidRDefault="008E7F42" w:rsidP="008E7F42">
      <w:pPr>
        <w:spacing w:after="0"/>
        <w:ind w:left="360" w:firstLine="360"/>
        <w:rPr>
          <w:rFonts w:eastAsia="Georgia" w:cstheme="minorHAnsi"/>
        </w:rPr>
      </w:pPr>
    </w:p>
    <w:p w14:paraId="5DCBF1AF" w14:textId="77777777" w:rsidR="008E7F42" w:rsidRPr="000E19C3" w:rsidRDefault="008E7F42" w:rsidP="008E7F42">
      <w:pPr>
        <w:spacing w:after="0"/>
        <w:rPr>
          <w:rFonts w:eastAsia="Georgia" w:cstheme="minorHAnsi"/>
        </w:rPr>
      </w:pPr>
      <w:r w:rsidRPr="000E19C3">
        <w:rPr>
          <w:rFonts w:eastAsia="Georgia" w:cstheme="minorHAnsi"/>
        </w:rPr>
        <w:t>The bottom of Tier 1 will look as follows:</w:t>
      </w:r>
    </w:p>
    <w:p w14:paraId="7403C07B" w14:textId="77777777" w:rsidR="008E7F42" w:rsidRPr="000E19C3" w:rsidRDefault="008E7F42" w:rsidP="008E7F42">
      <w:pPr>
        <w:numPr>
          <w:ilvl w:val="0"/>
          <w:numId w:val="4"/>
        </w:numPr>
        <w:spacing w:after="0" w:line="276" w:lineRule="auto"/>
        <w:contextualSpacing/>
        <w:rPr>
          <w:rFonts w:eastAsia="Georgia" w:cstheme="minorHAnsi"/>
        </w:rPr>
      </w:pPr>
      <w:r w:rsidRPr="000E19C3">
        <w:rPr>
          <w:rFonts w:eastAsia="Georgia" w:cstheme="minorHAnsi"/>
        </w:rPr>
        <w:t>HMIS Project</w:t>
      </w:r>
    </w:p>
    <w:p w14:paraId="4EFC1CD4" w14:textId="77777777" w:rsidR="008E7F42" w:rsidRPr="000E19C3" w:rsidRDefault="008E7F42" w:rsidP="008E7F42">
      <w:pPr>
        <w:numPr>
          <w:ilvl w:val="0"/>
          <w:numId w:val="4"/>
        </w:numPr>
        <w:spacing w:after="0" w:line="276" w:lineRule="auto"/>
        <w:contextualSpacing/>
        <w:rPr>
          <w:rFonts w:eastAsia="Georgia" w:cstheme="minorHAnsi"/>
        </w:rPr>
      </w:pPr>
      <w:r w:rsidRPr="000E19C3">
        <w:rPr>
          <w:rFonts w:eastAsia="Georgia" w:cstheme="minorHAnsi"/>
        </w:rPr>
        <w:t>Coordinated Entry Project</w:t>
      </w:r>
    </w:p>
    <w:p w14:paraId="38EACB74" w14:textId="77777777" w:rsidR="008E7F42" w:rsidRPr="000E19C3" w:rsidRDefault="008E7F42" w:rsidP="008E7F42">
      <w:pPr>
        <w:numPr>
          <w:ilvl w:val="0"/>
          <w:numId w:val="4"/>
        </w:numPr>
        <w:spacing w:after="0" w:line="276" w:lineRule="auto"/>
        <w:contextualSpacing/>
        <w:rPr>
          <w:rFonts w:eastAsia="Georgia" w:cstheme="minorHAnsi"/>
        </w:rPr>
      </w:pPr>
      <w:r w:rsidRPr="000E19C3">
        <w:rPr>
          <w:rFonts w:eastAsia="Georgia" w:cstheme="minorHAnsi"/>
        </w:rPr>
        <w:t>New project(s)/Expansion project(s) created through reallocation</w:t>
      </w:r>
    </w:p>
    <w:p w14:paraId="228C0433" w14:textId="77777777" w:rsidR="008E7F42" w:rsidRPr="000E19C3" w:rsidRDefault="008E7F42" w:rsidP="008E7F42">
      <w:pPr>
        <w:spacing w:after="0"/>
        <w:rPr>
          <w:rFonts w:eastAsia="Georgia" w:cstheme="minorHAnsi"/>
          <w:highlight w:val="yellow"/>
        </w:rPr>
      </w:pPr>
    </w:p>
    <w:p w14:paraId="7089D0F2" w14:textId="46DAA6D4" w:rsidR="008E7F42" w:rsidRPr="000E19C3" w:rsidRDefault="008E7F42" w:rsidP="008E7F42">
      <w:pPr>
        <w:numPr>
          <w:ilvl w:val="0"/>
          <w:numId w:val="19"/>
        </w:numPr>
        <w:spacing w:after="0" w:line="276" w:lineRule="auto"/>
        <w:contextualSpacing/>
        <w:rPr>
          <w:rFonts w:eastAsia="Georgia" w:cstheme="minorHAnsi"/>
        </w:rPr>
      </w:pPr>
      <w:r w:rsidRPr="000E19C3">
        <w:rPr>
          <w:rFonts w:eastAsia="Georgia" w:cstheme="minorHAnsi"/>
        </w:rPr>
        <w:t xml:space="preserve">The Ranking Committee will </w:t>
      </w:r>
      <w:r w:rsidR="006F68C7" w:rsidRPr="000E19C3">
        <w:rPr>
          <w:rFonts w:eastAsia="Georgia" w:cstheme="minorHAnsi"/>
        </w:rPr>
        <w:t>decide</w:t>
      </w:r>
      <w:r w:rsidRPr="000E19C3">
        <w:rPr>
          <w:rFonts w:eastAsia="Georgia" w:cstheme="minorHAnsi"/>
        </w:rPr>
        <w:t xml:space="preserve"> on Tier 1 Ranking for any BONUS project based on </w:t>
      </w:r>
      <w:proofErr w:type="gramStart"/>
      <w:r w:rsidRPr="000E19C3">
        <w:rPr>
          <w:rFonts w:eastAsia="Georgia" w:cstheme="minorHAnsi"/>
        </w:rPr>
        <w:t>need</w:t>
      </w:r>
      <w:proofErr w:type="gramEnd"/>
      <w:r w:rsidRPr="000E19C3">
        <w:rPr>
          <w:rFonts w:eastAsia="Georgia" w:cstheme="minorHAnsi"/>
        </w:rPr>
        <w:t xml:space="preserve"> and strength of the BONUS application. </w:t>
      </w:r>
    </w:p>
    <w:p w14:paraId="7221CB7F" w14:textId="77777777" w:rsidR="008E7F42" w:rsidRPr="000E19C3" w:rsidRDefault="008E7F42" w:rsidP="008E7F42">
      <w:pPr>
        <w:keepNext/>
        <w:keepLines/>
        <w:spacing w:before="240" w:after="0" w:line="276" w:lineRule="auto"/>
        <w:outlineLvl w:val="0"/>
        <w:rPr>
          <w:rFonts w:eastAsia="Georgia" w:cstheme="minorHAnsi"/>
          <w:color w:val="2F5496" w:themeColor="accent1" w:themeShade="BF"/>
          <w:sz w:val="32"/>
          <w:szCs w:val="32"/>
        </w:rPr>
      </w:pPr>
      <w:r w:rsidRPr="000E19C3">
        <w:rPr>
          <w:rFonts w:eastAsia="Georgia" w:cstheme="minorHAnsi"/>
          <w:color w:val="2F5496" w:themeColor="accent1" w:themeShade="BF"/>
          <w:sz w:val="32"/>
          <w:szCs w:val="32"/>
        </w:rPr>
        <w:t>Scoring:</w:t>
      </w:r>
    </w:p>
    <w:p w14:paraId="1588C372" w14:textId="77777777" w:rsidR="008E7F42" w:rsidRPr="000E19C3" w:rsidRDefault="008E7F42" w:rsidP="008E7F42">
      <w:pPr>
        <w:numPr>
          <w:ilvl w:val="0"/>
          <w:numId w:val="19"/>
        </w:numPr>
        <w:spacing w:after="0" w:line="276" w:lineRule="auto"/>
        <w:contextualSpacing/>
        <w:rPr>
          <w:rFonts w:cstheme="minorHAnsi"/>
        </w:rPr>
      </w:pPr>
      <w:r w:rsidRPr="000E19C3">
        <w:rPr>
          <w:rFonts w:eastAsia="Georgia" w:cstheme="minorHAnsi"/>
        </w:rPr>
        <w:t xml:space="preserve">Once the total number of points are calculated, the number of points earned will be divided by the total possible points for that project type.  The resulting percentage will be placed in descending order, highest at top and lowest at bottom.  If there is a tie between projects, a tiebreaker score will be used.  </w:t>
      </w:r>
    </w:p>
    <w:p w14:paraId="3ABEAD14" w14:textId="77777777" w:rsidR="008E7F42" w:rsidRPr="000E19C3" w:rsidRDefault="008E7F42" w:rsidP="008E7F42">
      <w:pPr>
        <w:spacing w:after="0"/>
        <w:ind w:left="720"/>
        <w:contextualSpacing/>
        <w:rPr>
          <w:rFonts w:cstheme="minorHAnsi"/>
        </w:rPr>
      </w:pPr>
    </w:p>
    <w:p w14:paraId="4002A8BD" w14:textId="77777777" w:rsidR="008E7F42" w:rsidRPr="000E19C3" w:rsidRDefault="008E7F42" w:rsidP="008E7F42">
      <w:pPr>
        <w:numPr>
          <w:ilvl w:val="0"/>
          <w:numId w:val="19"/>
        </w:numPr>
        <w:spacing w:after="0" w:line="276" w:lineRule="auto"/>
        <w:contextualSpacing/>
        <w:rPr>
          <w:rFonts w:cstheme="minorHAnsi"/>
        </w:rPr>
      </w:pPr>
      <w:r w:rsidRPr="000E19C3">
        <w:rPr>
          <w:rFonts w:eastAsia="Georgia" w:cstheme="minorHAnsi"/>
        </w:rPr>
        <w:t xml:space="preserve">The tiebreaker score will be based on cost effectiveness.  </w:t>
      </w:r>
      <w:bookmarkStart w:id="1" w:name="_Hlk516834274"/>
      <w:r w:rsidRPr="000E19C3">
        <w:rPr>
          <w:rFonts w:eastAsia="Georgia" w:cstheme="minorHAnsi"/>
        </w:rPr>
        <w:t xml:space="preserve">The total HUD grant award amount will be divided by the number of successful outcomes. Successful outcome for all projects (other than PSH) is exiting to permanent housing.  Successful outcome for PSH includes exits to permanent housing and remaining in permanent housing.  </w:t>
      </w:r>
    </w:p>
    <w:p w14:paraId="411037A5" w14:textId="77777777" w:rsidR="008E7F42" w:rsidRPr="000E19C3" w:rsidRDefault="008E7F42" w:rsidP="008E7F42">
      <w:pPr>
        <w:spacing w:after="0"/>
        <w:ind w:left="720"/>
        <w:contextualSpacing/>
        <w:rPr>
          <w:rFonts w:cstheme="minorHAnsi"/>
        </w:rPr>
      </w:pPr>
    </w:p>
    <w:p w14:paraId="26339EBE" w14:textId="77777777" w:rsidR="008E7F42" w:rsidRPr="000E19C3" w:rsidRDefault="008E7F42" w:rsidP="008E7F42">
      <w:pPr>
        <w:spacing w:after="0"/>
        <w:ind w:left="720"/>
        <w:contextualSpacing/>
        <w:rPr>
          <w:rFonts w:cstheme="minorHAnsi"/>
        </w:rPr>
      </w:pPr>
      <w:r w:rsidRPr="000E19C3">
        <w:rPr>
          <w:rFonts w:eastAsia="Georgia" w:cstheme="minorHAnsi"/>
          <w:u w:val="single"/>
        </w:rPr>
        <w:t>Example</w:t>
      </w:r>
    </w:p>
    <w:p w14:paraId="255DA4C9" w14:textId="77777777" w:rsidR="008E7F42" w:rsidRPr="000E19C3" w:rsidRDefault="008E7F42" w:rsidP="008E7F42">
      <w:pPr>
        <w:spacing w:after="0"/>
        <w:ind w:left="720"/>
        <w:contextualSpacing/>
        <w:rPr>
          <w:rFonts w:eastAsia="Georgia" w:cstheme="minorHAnsi"/>
        </w:rPr>
      </w:pPr>
      <w:r w:rsidRPr="000E19C3">
        <w:rPr>
          <w:rFonts w:eastAsia="Georgia" w:cstheme="minorHAnsi"/>
        </w:rPr>
        <w:t>A non-PSH project gets $100,000 grant.  25 households successfully went to permanent housing.  The cost per successful outcome is:  $4,000.</w:t>
      </w:r>
    </w:p>
    <w:p w14:paraId="14876A9F" w14:textId="77777777" w:rsidR="008E7F42" w:rsidRPr="000E19C3" w:rsidRDefault="008E7F42" w:rsidP="008E7F42">
      <w:pPr>
        <w:spacing w:after="0"/>
        <w:ind w:left="720"/>
        <w:contextualSpacing/>
        <w:rPr>
          <w:rFonts w:eastAsia="Georgia" w:cstheme="minorHAnsi"/>
        </w:rPr>
      </w:pPr>
    </w:p>
    <w:p w14:paraId="2A1200B3" w14:textId="77777777" w:rsidR="008E7F42" w:rsidRPr="000E19C3" w:rsidRDefault="008E7F42" w:rsidP="008E7F42">
      <w:pPr>
        <w:spacing w:after="0"/>
        <w:ind w:left="720"/>
        <w:contextualSpacing/>
        <w:rPr>
          <w:rFonts w:eastAsia="Georgia" w:cstheme="minorHAnsi"/>
        </w:rPr>
      </w:pPr>
      <w:r w:rsidRPr="000E19C3">
        <w:rPr>
          <w:rFonts w:eastAsia="Georgia" w:cstheme="minorHAnsi"/>
        </w:rPr>
        <w:t>A PSH project gets $100,000 grant. 5 households successfully went to permanent housing. 4 households remain in permanent housing. The cost per successful outcome is:  $11,111.</w:t>
      </w:r>
    </w:p>
    <w:bookmarkEnd w:id="1"/>
    <w:p w14:paraId="0FB18994" w14:textId="77777777" w:rsidR="008E7F42" w:rsidRPr="000E19C3" w:rsidRDefault="008E7F42" w:rsidP="008E7F42">
      <w:pPr>
        <w:spacing w:after="0"/>
        <w:ind w:left="720"/>
        <w:contextualSpacing/>
        <w:rPr>
          <w:rFonts w:cstheme="minorHAnsi"/>
        </w:rPr>
      </w:pPr>
    </w:p>
    <w:p w14:paraId="28F7AF3C" w14:textId="77777777" w:rsidR="008E7F42" w:rsidRPr="000E19C3" w:rsidRDefault="008E7F42" w:rsidP="008E7F42">
      <w:pPr>
        <w:numPr>
          <w:ilvl w:val="0"/>
          <w:numId w:val="19"/>
        </w:numPr>
        <w:spacing w:after="0" w:line="276" w:lineRule="auto"/>
        <w:contextualSpacing/>
        <w:rPr>
          <w:rFonts w:cstheme="minorHAnsi"/>
        </w:rPr>
      </w:pPr>
      <w:r w:rsidRPr="000E19C3">
        <w:rPr>
          <w:rFonts w:cstheme="minorHAnsi"/>
        </w:rPr>
        <w:t>Rounding for all scoring will be standard rounding to the second decimal point.</w:t>
      </w:r>
    </w:p>
    <w:p w14:paraId="410A5AAD" w14:textId="77777777" w:rsidR="008E7F42" w:rsidRPr="000E19C3" w:rsidRDefault="008E7F42" w:rsidP="008E7F42">
      <w:pPr>
        <w:ind w:left="720"/>
        <w:contextualSpacing/>
        <w:rPr>
          <w:rFonts w:cstheme="minorHAnsi"/>
        </w:rPr>
      </w:pPr>
    </w:p>
    <w:p w14:paraId="45457C6F" w14:textId="1A0D78D0" w:rsidR="008E7F42" w:rsidRPr="000E19C3" w:rsidRDefault="008E7F42" w:rsidP="008E7F42">
      <w:pPr>
        <w:numPr>
          <w:ilvl w:val="0"/>
          <w:numId w:val="19"/>
        </w:numPr>
        <w:spacing w:after="0" w:line="276" w:lineRule="auto"/>
        <w:contextualSpacing/>
        <w:rPr>
          <w:rFonts w:eastAsia="Georgia" w:cstheme="minorHAnsi"/>
        </w:rPr>
      </w:pPr>
      <w:r w:rsidRPr="000E19C3">
        <w:rPr>
          <w:rFonts w:eastAsia="Georgia" w:cstheme="minorHAnsi"/>
        </w:rPr>
        <w:t xml:space="preserve">Renewal Projects will be penalized for late application submission to the CoC.  </w:t>
      </w:r>
      <w:r w:rsidRPr="000E19C3">
        <w:rPr>
          <w:rFonts w:eastAsia="Georgia" w:cstheme="minorHAnsi"/>
          <w:b/>
        </w:rPr>
        <w:t>Projects will lose 8 points for submitting a late application.</w:t>
      </w:r>
      <w:r w:rsidRPr="000E19C3">
        <w:rPr>
          <w:rFonts w:eastAsia="Georgia" w:cstheme="minorHAnsi"/>
        </w:rPr>
        <w:t xml:space="preserve">  Timelines are critical during the NOFA process</w:t>
      </w:r>
      <w:r w:rsidR="00BB6A43" w:rsidRPr="000E19C3">
        <w:rPr>
          <w:rFonts w:eastAsia="Georgia" w:cstheme="minorHAnsi"/>
        </w:rPr>
        <w:t>,</w:t>
      </w:r>
      <w:r w:rsidRPr="000E19C3">
        <w:rPr>
          <w:rFonts w:eastAsia="Georgia" w:cstheme="minorHAnsi"/>
        </w:rPr>
        <w:t xml:space="preserve"> and it is essential that projects get all documents to the CoC on time.  </w:t>
      </w:r>
    </w:p>
    <w:p w14:paraId="15C38325" w14:textId="77777777" w:rsidR="008E7F42" w:rsidRPr="000E19C3" w:rsidRDefault="008E7F42" w:rsidP="008E7F42">
      <w:pPr>
        <w:spacing w:after="0"/>
        <w:ind w:left="720"/>
        <w:contextualSpacing/>
        <w:rPr>
          <w:rFonts w:eastAsia="Georgia" w:cstheme="minorHAnsi"/>
        </w:rPr>
      </w:pPr>
    </w:p>
    <w:p w14:paraId="088AED99" w14:textId="77777777" w:rsidR="008E7F42" w:rsidRPr="000E19C3" w:rsidRDefault="008E7F42" w:rsidP="008E7F42">
      <w:pPr>
        <w:numPr>
          <w:ilvl w:val="0"/>
          <w:numId w:val="19"/>
        </w:numPr>
        <w:spacing w:after="0" w:line="276" w:lineRule="auto"/>
        <w:contextualSpacing/>
        <w:rPr>
          <w:rFonts w:eastAsia="Georgia" w:cstheme="minorHAnsi"/>
        </w:rPr>
      </w:pPr>
      <w:r w:rsidRPr="000E19C3">
        <w:rPr>
          <w:rFonts w:eastAsia="Georgia" w:cstheme="minorHAnsi"/>
        </w:rPr>
        <w:t>New projects awarded in the last competition that have not yet begun and those projects that have not finished their first year or have not submitted their first APR but must submit a renewal application will be placed at the bottom of Tier 1 and exempt from the scoring process.</w:t>
      </w:r>
    </w:p>
    <w:p w14:paraId="54C9C12D" w14:textId="77777777" w:rsidR="008E7F42" w:rsidRPr="000E19C3" w:rsidRDefault="008E7F42" w:rsidP="008E7F42">
      <w:pPr>
        <w:ind w:left="720"/>
        <w:contextualSpacing/>
        <w:rPr>
          <w:rFonts w:eastAsia="Georgia" w:cstheme="minorHAnsi"/>
        </w:rPr>
      </w:pPr>
    </w:p>
    <w:p w14:paraId="5B04B6D5" w14:textId="2214FBD2" w:rsidR="008E7F42" w:rsidRPr="000E19C3" w:rsidRDefault="008E7F42" w:rsidP="008E7F42">
      <w:pPr>
        <w:numPr>
          <w:ilvl w:val="0"/>
          <w:numId w:val="19"/>
        </w:numPr>
        <w:spacing w:after="0" w:line="276" w:lineRule="auto"/>
        <w:contextualSpacing/>
        <w:rPr>
          <w:rFonts w:eastAsia="Georgia" w:cstheme="minorHAnsi"/>
        </w:rPr>
      </w:pPr>
      <w:r w:rsidRPr="000E19C3">
        <w:rPr>
          <w:rFonts w:eastAsia="Georgia" w:cstheme="minorHAnsi"/>
        </w:rPr>
        <w:t xml:space="preserve">Projects that have completed only their first APR will be exempt from the following scoring categories: 1) Use of Federal Funds, 2) Unit Utilization, 3) Exits to Permanent Housing, 4) All income measures, 5) </w:t>
      </w:r>
      <w:r w:rsidR="00BB6A43" w:rsidRPr="000E19C3">
        <w:rPr>
          <w:rFonts w:eastAsia="Georgia" w:cstheme="minorHAnsi"/>
        </w:rPr>
        <w:t>Reoccurrence</w:t>
      </w:r>
      <w:r w:rsidRPr="000E19C3">
        <w:rPr>
          <w:rFonts w:eastAsia="Georgia" w:cstheme="minorHAnsi"/>
        </w:rPr>
        <w:t xml:space="preserve">, 6) Mainstream Benefits, 7) Health </w:t>
      </w:r>
      <w:r w:rsidR="00BB6A43" w:rsidRPr="000E19C3">
        <w:rPr>
          <w:rFonts w:eastAsia="Georgia" w:cstheme="minorHAnsi"/>
        </w:rPr>
        <w:t>Insurance.</w:t>
      </w:r>
      <w:r w:rsidRPr="000E19C3">
        <w:rPr>
          <w:rFonts w:eastAsia="Georgia" w:cstheme="minorHAnsi"/>
        </w:rPr>
        <w:t xml:space="preserve">    SMAC does not want to penalize projects that are new to CoC funding and have not had the opportunity to score well in these areas.</w:t>
      </w:r>
    </w:p>
    <w:p w14:paraId="5EE70143" w14:textId="77777777" w:rsidR="008E7F42" w:rsidRPr="000E19C3" w:rsidRDefault="008E7F42" w:rsidP="008E7F42">
      <w:pPr>
        <w:ind w:left="720"/>
        <w:contextualSpacing/>
        <w:rPr>
          <w:rFonts w:eastAsia="Georgia" w:cstheme="minorHAnsi"/>
        </w:rPr>
      </w:pPr>
    </w:p>
    <w:p w14:paraId="7CF58343" w14:textId="66A873D3" w:rsidR="008663CC" w:rsidRPr="000E19C3" w:rsidRDefault="008E7F42" w:rsidP="3F04BC06">
      <w:pPr>
        <w:numPr>
          <w:ilvl w:val="0"/>
          <w:numId w:val="19"/>
        </w:numPr>
        <w:spacing w:after="0" w:line="276" w:lineRule="auto"/>
        <w:contextualSpacing/>
        <w:rPr>
          <w:rFonts w:eastAsia="Georgia" w:cstheme="minorHAnsi"/>
        </w:rPr>
      </w:pPr>
      <w:r w:rsidRPr="000E19C3">
        <w:rPr>
          <w:rFonts w:eastAsia="Georgia" w:cstheme="minorHAnsi"/>
        </w:rPr>
        <w:t xml:space="preserve">If an agency was not able to access </w:t>
      </w:r>
      <w:proofErr w:type="spellStart"/>
      <w:r w:rsidRPr="000E19C3">
        <w:rPr>
          <w:rFonts w:eastAsia="Georgia" w:cstheme="minorHAnsi"/>
        </w:rPr>
        <w:t>eLOCCS</w:t>
      </w:r>
      <w:proofErr w:type="spellEnd"/>
      <w:r w:rsidRPr="000E19C3">
        <w:rPr>
          <w:rFonts w:eastAsia="Georgia" w:cstheme="minorHAnsi"/>
        </w:rPr>
        <w:t xml:space="preserve"> </w:t>
      </w:r>
      <w:proofErr w:type="gramStart"/>
      <w:r w:rsidRPr="000E19C3">
        <w:rPr>
          <w:rFonts w:eastAsia="Georgia" w:cstheme="minorHAnsi"/>
        </w:rPr>
        <w:t>during the course of</w:t>
      </w:r>
      <w:proofErr w:type="gramEnd"/>
      <w:r w:rsidRPr="000E19C3">
        <w:rPr>
          <w:rFonts w:eastAsia="Georgia" w:cstheme="minorHAnsi"/>
        </w:rPr>
        <w:t xml:space="preserve"> the year through no fault of their own, the agency is responsible for notifying the CoC and providing confirmation from the HUD Field Office.  If so, the agency would be exempt from the scoring criteria.</w:t>
      </w:r>
    </w:p>
    <w:sectPr w:rsidR="008663CC" w:rsidRPr="000E19C3" w:rsidSect="00200C4D">
      <w:headerReference w:type="default" r:id="rId15"/>
      <w:footerReference w:type="default" r:id="rId16"/>
      <w:pgSz w:w="12240" w:h="15840"/>
      <w:pgMar w:top="1008" w:right="1008" w:bottom="1008" w:left="1008" w:header="720" w:footer="720" w:gutter="0"/>
      <w:pgBorders w:display="firstPage">
        <w:top w:val="dotDash" w:sz="4" w:space="1" w:color="FFD966" w:themeColor="accent4" w:themeTint="99"/>
        <w:left w:val="dotDash" w:sz="4" w:space="4" w:color="FFD966" w:themeColor="accent4" w:themeTint="99"/>
        <w:bottom w:val="dotDash" w:sz="4" w:space="1" w:color="FFD966" w:themeColor="accent4" w:themeTint="99"/>
        <w:right w:val="dotDash" w:sz="4" w:space="4" w:color="FFD966" w:themeColor="accent4"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CE7345" w14:textId="77777777" w:rsidR="00DD0DF2" w:rsidRDefault="00DD0DF2" w:rsidP="00DF0587">
      <w:pPr>
        <w:spacing w:after="0" w:line="240" w:lineRule="auto"/>
      </w:pPr>
      <w:r>
        <w:separator/>
      </w:r>
    </w:p>
  </w:endnote>
  <w:endnote w:type="continuationSeparator" w:id="0">
    <w:p w14:paraId="6B5AC5EB" w14:textId="77777777" w:rsidR="00DD0DF2" w:rsidRDefault="00DD0DF2" w:rsidP="00DF0587">
      <w:pPr>
        <w:spacing w:after="0" w:line="240" w:lineRule="auto"/>
      </w:pPr>
      <w:r>
        <w:continuationSeparator/>
      </w:r>
    </w:p>
  </w:endnote>
  <w:endnote w:type="continuationNotice" w:id="1">
    <w:p w14:paraId="6A057DE9" w14:textId="77777777" w:rsidR="00DD0DF2" w:rsidRDefault="00DD0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6966458"/>
      <w:docPartObj>
        <w:docPartGallery w:val="Page Numbers (Bottom of Page)"/>
        <w:docPartUnique/>
      </w:docPartObj>
    </w:sdtPr>
    <w:sdtEndPr>
      <w:rPr>
        <w:noProof/>
      </w:rPr>
    </w:sdtEndPr>
    <w:sdtContent>
      <w:p w14:paraId="1B68471B" w14:textId="77777777" w:rsidR="00201971" w:rsidRDefault="002019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7C9F45" w14:textId="77777777" w:rsidR="00201971" w:rsidRDefault="00201971">
    <w:pPr>
      <w:pStyle w:val="Footer"/>
    </w:pPr>
    <w:r>
      <w:t>New Project Applicant Packet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5578B" w14:textId="77777777" w:rsidR="00DD0DF2" w:rsidRDefault="00DD0DF2" w:rsidP="00DF0587">
      <w:pPr>
        <w:spacing w:after="0" w:line="240" w:lineRule="auto"/>
      </w:pPr>
      <w:r>
        <w:separator/>
      </w:r>
    </w:p>
  </w:footnote>
  <w:footnote w:type="continuationSeparator" w:id="0">
    <w:p w14:paraId="0CBA231A" w14:textId="77777777" w:rsidR="00DD0DF2" w:rsidRDefault="00DD0DF2" w:rsidP="00DF0587">
      <w:pPr>
        <w:spacing w:after="0" w:line="240" w:lineRule="auto"/>
      </w:pPr>
      <w:r>
        <w:continuationSeparator/>
      </w:r>
    </w:p>
  </w:footnote>
  <w:footnote w:type="continuationNotice" w:id="1">
    <w:p w14:paraId="6B8D9BE2" w14:textId="77777777" w:rsidR="00DD0DF2" w:rsidRDefault="00DD0D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BA5F4" w14:textId="18D9A18E" w:rsidR="00201971" w:rsidRPr="00200C4D" w:rsidRDefault="00201971" w:rsidP="00200C4D">
    <w:pPr>
      <w:pStyle w:val="NoSpacing"/>
      <w:jc w:val="right"/>
      <w:rPr>
        <w:b/>
      </w:rPr>
    </w:pPr>
    <w:r w:rsidRPr="00200C4D">
      <w:rPr>
        <w:b/>
      </w:rPr>
      <w:t>SMAC MN</w:t>
    </w:r>
  </w:p>
  <w:p w14:paraId="47EA5363" w14:textId="77777777" w:rsidR="00201971" w:rsidRPr="009C58FB" w:rsidRDefault="00201971" w:rsidP="00200C4D">
    <w:pPr>
      <w:pStyle w:val="NoSpacing"/>
      <w:jc w:val="right"/>
      <w:rPr>
        <w:sz w:val="20"/>
        <w:szCs w:val="20"/>
      </w:rPr>
    </w:pPr>
    <w:r w:rsidRPr="00200C4D">
      <w:rPr>
        <w:b/>
        <w:sz w:val="20"/>
        <w:szCs w:val="20"/>
      </w:rPr>
      <w:t>Suburban Metro Area Continuum of Care</w:t>
    </w:r>
  </w:p>
  <w:p w14:paraId="038DDD54" w14:textId="77777777" w:rsidR="00201971" w:rsidRDefault="00201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20129"/>
    <w:multiLevelType w:val="hybridMultilevel"/>
    <w:tmpl w:val="754C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5356F"/>
    <w:multiLevelType w:val="hybridMultilevel"/>
    <w:tmpl w:val="4C7C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42A0B"/>
    <w:multiLevelType w:val="hybridMultilevel"/>
    <w:tmpl w:val="5238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241D0"/>
    <w:multiLevelType w:val="hybridMultilevel"/>
    <w:tmpl w:val="21C4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574BB"/>
    <w:multiLevelType w:val="hybridMultilevel"/>
    <w:tmpl w:val="E362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F6B23"/>
    <w:multiLevelType w:val="hybridMultilevel"/>
    <w:tmpl w:val="3386EC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52609"/>
    <w:multiLevelType w:val="hybridMultilevel"/>
    <w:tmpl w:val="9B7E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31F4E"/>
    <w:multiLevelType w:val="hybridMultilevel"/>
    <w:tmpl w:val="748A51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0DE77817"/>
    <w:multiLevelType w:val="hybridMultilevel"/>
    <w:tmpl w:val="96DE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73616"/>
    <w:multiLevelType w:val="hybridMultilevel"/>
    <w:tmpl w:val="2AD233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F70EC8"/>
    <w:multiLevelType w:val="hybridMultilevel"/>
    <w:tmpl w:val="A4A0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03A2F"/>
    <w:multiLevelType w:val="hybridMultilevel"/>
    <w:tmpl w:val="BBDA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26114A"/>
    <w:multiLevelType w:val="hybridMultilevel"/>
    <w:tmpl w:val="FB18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76D1D"/>
    <w:multiLevelType w:val="hybridMultilevel"/>
    <w:tmpl w:val="6114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70561"/>
    <w:multiLevelType w:val="hybridMultilevel"/>
    <w:tmpl w:val="F852F1B2"/>
    <w:lvl w:ilvl="0" w:tplc="ACF0F490">
      <w:start w:val="1"/>
      <w:numFmt w:val="decimal"/>
      <w:lvlText w:val="%1)"/>
      <w:lvlJc w:val="left"/>
      <w:pPr>
        <w:ind w:left="360" w:hanging="360"/>
      </w:pPr>
      <w:rPr>
        <w:rFonts w:ascii="Georgia" w:eastAsia="Georgia" w:hAnsi="Georgia" w:cs="Georg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2608D9"/>
    <w:multiLevelType w:val="hybridMultilevel"/>
    <w:tmpl w:val="410C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4658ED"/>
    <w:multiLevelType w:val="hybridMultilevel"/>
    <w:tmpl w:val="41D4BBC0"/>
    <w:lvl w:ilvl="0" w:tplc="3182A55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4917A6"/>
    <w:multiLevelType w:val="hybridMultilevel"/>
    <w:tmpl w:val="D402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C2520"/>
    <w:multiLevelType w:val="hybridMultilevel"/>
    <w:tmpl w:val="1E40BDC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A1440F"/>
    <w:multiLevelType w:val="hybridMultilevel"/>
    <w:tmpl w:val="FFEE081E"/>
    <w:lvl w:ilvl="0" w:tplc="626AF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6E6428"/>
    <w:multiLevelType w:val="hybridMultilevel"/>
    <w:tmpl w:val="52920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15054D"/>
    <w:multiLevelType w:val="hybridMultilevel"/>
    <w:tmpl w:val="F1C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733B32"/>
    <w:multiLevelType w:val="hybridMultilevel"/>
    <w:tmpl w:val="779404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5604AA"/>
    <w:multiLevelType w:val="hybridMultilevel"/>
    <w:tmpl w:val="3D148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776F78"/>
    <w:multiLevelType w:val="hybridMultilevel"/>
    <w:tmpl w:val="5DBE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A4551"/>
    <w:multiLevelType w:val="hybridMultilevel"/>
    <w:tmpl w:val="D98A15A4"/>
    <w:lvl w:ilvl="0" w:tplc="9AAE7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070BE1"/>
    <w:multiLevelType w:val="hybridMultilevel"/>
    <w:tmpl w:val="C316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5A6E"/>
    <w:multiLevelType w:val="hybridMultilevel"/>
    <w:tmpl w:val="A76EA4E4"/>
    <w:lvl w:ilvl="0" w:tplc="70FAA1B0">
      <w:start w:val="1"/>
      <w:numFmt w:val="decimal"/>
      <w:lvlText w:val="%1)"/>
      <w:lvlJc w:val="left"/>
      <w:pPr>
        <w:ind w:left="720" w:hanging="360"/>
      </w:pPr>
      <w:rPr>
        <w:rFonts w:hint="default"/>
        <w:b/>
        <w:i w:val="0"/>
      </w:rPr>
    </w:lvl>
    <w:lvl w:ilvl="1" w:tplc="57D61EB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052D61"/>
    <w:multiLevelType w:val="hybridMultilevel"/>
    <w:tmpl w:val="D8AE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757EFE"/>
    <w:multiLevelType w:val="hybridMultilevel"/>
    <w:tmpl w:val="3386EC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CB42F3"/>
    <w:multiLevelType w:val="hybridMultilevel"/>
    <w:tmpl w:val="4C3C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F2FA0"/>
    <w:multiLevelType w:val="hybridMultilevel"/>
    <w:tmpl w:val="A188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1508A"/>
    <w:multiLevelType w:val="hybridMultilevel"/>
    <w:tmpl w:val="0A781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062BF4"/>
    <w:multiLevelType w:val="hybridMultilevel"/>
    <w:tmpl w:val="EF589634"/>
    <w:lvl w:ilvl="0" w:tplc="B86E0DA0">
      <w:start w:val="1"/>
      <w:numFmt w:val="decimal"/>
      <w:lvlText w:val="%1)"/>
      <w:lvlJc w:val="left"/>
      <w:pPr>
        <w:ind w:left="360" w:hanging="360"/>
      </w:pPr>
      <w:rPr>
        <w:rFonts w:ascii="Georgia" w:eastAsia="Georgia" w:hAnsi="Georgia" w:cs="Georg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881128"/>
    <w:multiLevelType w:val="hybridMultilevel"/>
    <w:tmpl w:val="A712E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FF7D05"/>
    <w:multiLevelType w:val="hybridMultilevel"/>
    <w:tmpl w:val="F16A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007693"/>
    <w:multiLevelType w:val="hybridMultilevel"/>
    <w:tmpl w:val="5B8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760386"/>
    <w:multiLevelType w:val="hybridMultilevel"/>
    <w:tmpl w:val="96DA95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BE3B1E"/>
    <w:multiLevelType w:val="hybridMultilevel"/>
    <w:tmpl w:val="6DF852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D316B4"/>
    <w:multiLevelType w:val="hybridMultilevel"/>
    <w:tmpl w:val="3FC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051EA6"/>
    <w:multiLevelType w:val="hybridMultilevel"/>
    <w:tmpl w:val="059A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026E8B"/>
    <w:multiLevelType w:val="hybridMultilevel"/>
    <w:tmpl w:val="379A8B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5C01B56"/>
    <w:multiLevelType w:val="hybridMultilevel"/>
    <w:tmpl w:val="55AA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03BB6"/>
    <w:multiLevelType w:val="hybridMultilevel"/>
    <w:tmpl w:val="DB3879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A144D"/>
    <w:multiLevelType w:val="hybridMultilevel"/>
    <w:tmpl w:val="C0A65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6810287">
    <w:abstractNumId w:val="25"/>
  </w:num>
  <w:num w:numId="2" w16cid:durableId="273906186">
    <w:abstractNumId w:val="19"/>
  </w:num>
  <w:num w:numId="3" w16cid:durableId="1243754564">
    <w:abstractNumId w:val="34"/>
  </w:num>
  <w:num w:numId="4" w16cid:durableId="1608780338">
    <w:abstractNumId w:val="8"/>
  </w:num>
  <w:num w:numId="5" w16cid:durableId="2147116163">
    <w:abstractNumId w:val="18"/>
  </w:num>
  <w:num w:numId="6" w16cid:durableId="336420810">
    <w:abstractNumId w:val="5"/>
  </w:num>
  <w:num w:numId="7" w16cid:durableId="1299186926">
    <w:abstractNumId w:val="26"/>
  </w:num>
  <w:num w:numId="8" w16cid:durableId="1548299354">
    <w:abstractNumId w:val="42"/>
  </w:num>
  <w:num w:numId="9" w16cid:durableId="1751350353">
    <w:abstractNumId w:val="9"/>
  </w:num>
  <w:num w:numId="10" w16cid:durableId="1931428115">
    <w:abstractNumId w:val="37"/>
  </w:num>
  <w:num w:numId="11" w16cid:durableId="62218115">
    <w:abstractNumId w:val="36"/>
  </w:num>
  <w:num w:numId="12" w16cid:durableId="213662097">
    <w:abstractNumId w:val="13"/>
  </w:num>
  <w:num w:numId="13" w16cid:durableId="1836533564">
    <w:abstractNumId w:val="38"/>
  </w:num>
  <w:num w:numId="14" w16cid:durableId="531502855">
    <w:abstractNumId w:val="14"/>
  </w:num>
  <w:num w:numId="15" w16cid:durableId="449204271">
    <w:abstractNumId w:val="33"/>
  </w:num>
  <w:num w:numId="16" w16cid:durableId="397630242">
    <w:abstractNumId w:val="29"/>
  </w:num>
  <w:num w:numId="17" w16cid:durableId="1591768662">
    <w:abstractNumId w:val="22"/>
  </w:num>
  <w:num w:numId="18" w16cid:durableId="547187556">
    <w:abstractNumId w:val="43"/>
  </w:num>
  <w:num w:numId="19" w16cid:durableId="2050449019">
    <w:abstractNumId w:val="16"/>
  </w:num>
  <w:num w:numId="20" w16cid:durableId="958027260">
    <w:abstractNumId w:val="32"/>
  </w:num>
  <w:num w:numId="21" w16cid:durableId="1422217202">
    <w:abstractNumId w:val="27"/>
  </w:num>
  <w:num w:numId="22" w16cid:durableId="1862545399">
    <w:abstractNumId w:val="35"/>
  </w:num>
  <w:num w:numId="23" w16cid:durableId="1597860598">
    <w:abstractNumId w:val="6"/>
  </w:num>
  <w:num w:numId="24" w16cid:durableId="1307858802">
    <w:abstractNumId w:val="30"/>
  </w:num>
  <w:num w:numId="25" w16cid:durableId="1551380572">
    <w:abstractNumId w:val="44"/>
  </w:num>
  <w:num w:numId="26" w16cid:durableId="297150261">
    <w:abstractNumId w:val="28"/>
  </w:num>
  <w:num w:numId="27" w16cid:durableId="1285771924">
    <w:abstractNumId w:val="23"/>
  </w:num>
  <w:num w:numId="28" w16cid:durableId="458887611">
    <w:abstractNumId w:val="40"/>
  </w:num>
  <w:num w:numId="29" w16cid:durableId="1208681863">
    <w:abstractNumId w:val="41"/>
  </w:num>
  <w:num w:numId="30" w16cid:durableId="1277741">
    <w:abstractNumId w:val="1"/>
  </w:num>
  <w:num w:numId="31" w16cid:durableId="437876879">
    <w:abstractNumId w:val="17"/>
  </w:num>
  <w:num w:numId="32" w16cid:durableId="1831483823">
    <w:abstractNumId w:val="4"/>
  </w:num>
  <w:num w:numId="33" w16cid:durableId="752236194">
    <w:abstractNumId w:val="21"/>
  </w:num>
  <w:num w:numId="34" w16cid:durableId="1479305190">
    <w:abstractNumId w:val="12"/>
  </w:num>
  <w:num w:numId="35" w16cid:durableId="1525171679">
    <w:abstractNumId w:val="11"/>
  </w:num>
  <w:num w:numId="36" w16cid:durableId="2092001495">
    <w:abstractNumId w:val="7"/>
  </w:num>
  <w:num w:numId="37" w16cid:durableId="1415517383">
    <w:abstractNumId w:val="10"/>
  </w:num>
  <w:num w:numId="38" w16cid:durableId="1660769338">
    <w:abstractNumId w:val="20"/>
  </w:num>
  <w:num w:numId="39" w16cid:durableId="975061492">
    <w:abstractNumId w:val="3"/>
  </w:num>
  <w:num w:numId="40" w16cid:durableId="1803300831">
    <w:abstractNumId w:val="15"/>
  </w:num>
  <w:num w:numId="41" w16cid:durableId="759327329">
    <w:abstractNumId w:val="39"/>
  </w:num>
  <w:num w:numId="42" w16cid:durableId="1537737136">
    <w:abstractNumId w:val="31"/>
  </w:num>
  <w:num w:numId="43" w16cid:durableId="2054033319">
    <w:abstractNumId w:val="2"/>
  </w:num>
  <w:num w:numId="44" w16cid:durableId="523713306">
    <w:abstractNumId w:val="24"/>
  </w:num>
  <w:num w:numId="45" w16cid:durableId="1303929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17"/>
    <w:rsid w:val="0000591A"/>
    <w:rsid w:val="000060E4"/>
    <w:rsid w:val="00023686"/>
    <w:rsid w:val="0002601E"/>
    <w:rsid w:val="000279D9"/>
    <w:rsid w:val="00041001"/>
    <w:rsid w:val="00041313"/>
    <w:rsid w:val="00044FE3"/>
    <w:rsid w:val="000460D8"/>
    <w:rsid w:val="0006732E"/>
    <w:rsid w:val="00070221"/>
    <w:rsid w:val="00077AA9"/>
    <w:rsid w:val="00080F04"/>
    <w:rsid w:val="000A5472"/>
    <w:rsid w:val="000A7B54"/>
    <w:rsid w:val="000B40A5"/>
    <w:rsid w:val="000E19C3"/>
    <w:rsid w:val="00112502"/>
    <w:rsid w:val="00115654"/>
    <w:rsid w:val="0011639B"/>
    <w:rsid w:val="00135302"/>
    <w:rsid w:val="00136C23"/>
    <w:rsid w:val="00160F42"/>
    <w:rsid w:val="0016792F"/>
    <w:rsid w:val="00177734"/>
    <w:rsid w:val="00186411"/>
    <w:rsid w:val="00195DEF"/>
    <w:rsid w:val="001A11B8"/>
    <w:rsid w:val="001A6875"/>
    <w:rsid w:val="001C79B4"/>
    <w:rsid w:val="001C7A87"/>
    <w:rsid w:val="001D1E39"/>
    <w:rsid w:val="001D58F5"/>
    <w:rsid w:val="001E2503"/>
    <w:rsid w:val="001E3532"/>
    <w:rsid w:val="001F568F"/>
    <w:rsid w:val="00200C4D"/>
    <w:rsid w:val="00201971"/>
    <w:rsid w:val="00201DA1"/>
    <w:rsid w:val="002031AE"/>
    <w:rsid w:val="002055B7"/>
    <w:rsid w:val="00215241"/>
    <w:rsid w:val="00233AD5"/>
    <w:rsid w:val="00286E3B"/>
    <w:rsid w:val="002A3200"/>
    <w:rsid w:val="002C3955"/>
    <w:rsid w:val="002C4F7E"/>
    <w:rsid w:val="002C5923"/>
    <w:rsid w:val="002F1B01"/>
    <w:rsid w:val="002F3870"/>
    <w:rsid w:val="002F75E8"/>
    <w:rsid w:val="00304EF3"/>
    <w:rsid w:val="003130C7"/>
    <w:rsid w:val="00320003"/>
    <w:rsid w:val="003210F9"/>
    <w:rsid w:val="0032273E"/>
    <w:rsid w:val="0032526D"/>
    <w:rsid w:val="0032588C"/>
    <w:rsid w:val="0033385C"/>
    <w:rsid w:val="00343013"/>
    <w:rsid w:val="003470F9"/>
    <w:rsid w:val="0035557A"/>
    <w:rsid w:val="003615CA"/>
    <w:rsid w:val="003747DA"/>
    <w:rsid w:val="003817D2"/>
    <w:rsid w:val="003A036F"/>
    <w:rsid w:val="003B2219"/>
    <w:rsid w:val="003C37FE"/>
    <w:rsid w:val="003C77B4"/>
    <w:rsid w:val="003D1BFD"/>
    <w:rsid w:val="003D216F"/>
    <w:rsid w:val="003E1306"/>
    <w:rsid w:val="003E2220"/>
    <w:rsid w:val="003E658D"/>
    <w:rsid w:val="00400E57"/>
    <w:rsid w:val="00400F2F"/>
    <w:rsid w:val="004134B9"/>
    <w:rsid w:val="00417534"/>
    <w:rsid w:val="00421C92"/>
    <w:rsid w:val="00423A0A"/>
    <w:rsid w:val="00463B5B"/>
    <w:rsid w:val="004856EE"/>
    <w:rsid w:val="004A29D9"/>
    <w:rsid w:val="004B0765"/>
    <w:rsid w:val="004B7BCF"/>
    <w:rsid w:val="004C18D4"/>
    <w:rsid w:val="004C684F"/>
    <w:rsid w:val="004D39F5"/>
    <w:rsid w:val="004E4F6C"/>
    <w:rsid w:val="004E578C"/>
    <w:rsid w:val="004E6A83"/>
    <w:rsid w:val="00502C4F"/>
    <w:rsid w:val="00524CF7"/>
    <w:rsid w:val="0053035D"/>
    <w:rsid w:val="0053245B"/>
    <w:rsid w:val="0056741A"/>
    <w:rsid w:val="00567CBA"/>
    <w:rsid w:val="00576EAC"/>
    <w:rsid w:val="00584857"/>
    <w:rsid w:val="00590028"/>
    <w:rsid w:val="005B6D0E"/>
    <w:rsid w:val="005C3FD7"/>
    <w:rsid w:val="005C5B32"/>
    <w:rsid w:val="005D5E5F"/>
    <w:rsid w:val="005E12BA"/>
    <w:rsid w:val="005E46F7"/>
    <w:rsid w:val="005F43AC"/>
    <w:rsid w:val="005F59CB"/>
    <w:rsid w:val="005F5FB1"/>
    <w:rsid w:val="005F7DA9"/>
    <w:rsid w:val="00624615"/>
    <w:rsid w:val="006256FD"/>
    <w:rsid w:val="006319D6"/>
    <w:rsid w:val="0063757C"/>
    <w:rsid w:val="00645C3F"/>
    <w:rsid w:val="00645FC2"/>
    <w:rsid w:val="00647291"/>
    <w:rsid w:val="006612F8"/>
    <w:rsid w:val="00664BEB"/>
    <w:rsid w:val="00685EB5"/>
    <w:rsid w:val="00686CCD"/>
    <w:rsid w:val="00696B12"/>
    <w:rsid w:val="006C11B7"/>
    <w:rsid w:val="006C230B"/>
    <w:rsid w:val="006D78A5"/>
    <w:rsid w:val="006E3B83"/>
    <w:rsid w:val="006F68C7"/>
    <w:rsid w:val="0071350B"/>
    <w:rsid w:val="0071514F"/>
    <w:rsid w:val="00715180"/>
    <w:rsid w:val="00723B98"/>
    <w:rsid w:val="007247A8"/>
    <w:rsid w:val="00732A91"/>
    <w:rsid w:val="0074649B"/>
    <w:rsid w:val="0074726F"/>
    <w:rsid w:val="0076138C"/>
    <w:rsid w:val="00787CD9"/>
    <w:rsid w:val="007C14CC"/>
    <w:rsid w:val="007C78EB"/>
    <w:rsid w:val="007F38F2"/>
    <w:rsid w:val="0080742B"/>
    <w:rsid w:val="00811F85"/>
    <w:rsid w:val="0081541B"/>
    <w:rsid w:val="008348F3"/>
    <w:rsid w:val="00846144"/>
    <w:rsid w:val="008663CC"/>
    <w:rsid w:val="0088335F"/>
    <w:rsid w:val="0089021D"/>
    <w:rsid w:val="008935BC"/>
    <w:rsid w:val="008944B7"/>
    <w:rsid w:val="008947B7"/>
    <w:rsid w:val="00896794"/>
    <w:rsid w:val="008B0C2B"/>
    <w:rsid w:val="008B26CB"/>
    <w:rsid w:val="008B6020"/>
    <w:rsid w:val="008B6DDF"/>
    <w:rsid w:val="008E339F"/>
    <w:rsid w:val="008E7F42"/>
    <w:rsid w:val="008F6228"/>
    <w:rsid w:val="009030E0"/>
    <w:rsid w:val="009040B4"/>
    <w:rsid w:val="00912563"/>
    <w:rsid w:val="009142C9"/>
    <w:rsid w:val="0092309C"/>
    <w:rsid w:val="00923763"/>
    <w:rsid w:val="00925E35"/>
    <w:rsid w:val="00927732"/>
    <w:rsid w:val="00933E8A"/>
    <w:rsid w:val="00954A5E"/>
    <w:rsid w:val="00960988"/>
    <w:rsid w:val="00970A8C"/>
    <w:rsid w:val="00976F78"/>
    <w:rsid w:val="0098546F"/>
    <w:rsid w:val="00994472"/>
    <w:rsid w:val="009A400C"/>
    <w:rsid w:val="009A407B"/>
    <w:rsid w:val="009A420F"/>
    <w:rsid w:val="009B4279"/>
    <w:rsid w:val="009B5EF5"/>
    <w:rsid w:val="009C0BFE"/>
    <w:rsid w:val="00A0136D"/>
    <w:rsid w:val="00A04A88"/>
    <w:rsid w:val="00A05335"/>
    <w:rsid w:val="00A10286"/>
    <w:rsid w:val="00A14383"/>
    <w:rsid w:val="00A16DCB"/>
    <w:rsid w:val="00A17B4E"/>
    <w:rsid w:val="00A32835"/>
    <w:rsid w:val="00A330D4"/>
    <w:rsid w:val="00A57B77"/>
    <w:rsid w:val="00A65BA8"/>
    <w:rsid w:val="00A670F0"/>
    <w:rsid w:val="00A93AA7"/>
    <w:rsid w:val="00AA034C"/>
    <w:rsid w:val="00AA7157"/>
    <w:rsid w:val="00AA74DF"/>
    <w:rsid w:val="00AA7D9D"/>
    <w:rsid w:val="00AB3153"/>
    <w:rsid w:val="00AC2FC0"/>
    <w:rsid w:val="00AC4BE6"/>
    <w:rsid w:val="00AC6A19"/>
    <w:rsid w:val="00AC7D17"/>
    <w:rsid w:val="00AD26C3"/>
    <w:rsid w:val="00AE071F"/>
    <w:rsid w:val="00B06D59"/>
    <w:rsid w:val="00B34318"/>
    <w:rsid w:val="00B36265"/>
    <w:rsid w:val="00B370F7"/>
    <w:rsid w:val="00B43A88"/>
    <w:rsid w:val="00B57207"/>
    <w:rsid w:val="00B624B2"/>
    <w:rsid w:val="00B638C3"/>
    <w:rsid w:val="00B76053"/>
    <w:rsid w:val="00B771DC"/>
    <w:rsid w:val="00B96B28"/>
    <w:rsid w:val="00BA2111"/>
    <w:rsid w:val="00BA4E29"/>
    <w:rsid w:val="00BB6A43"/>
    <w:rsid w:val="00BC1410"/>
    <w:rsid w:val="00BD0997"/>
    <w:rsid w:val="00BE2630"/>
    <w:rsid w:val="00BE5EB5"/>
    <w:rsid w:val="00BF33C2"/>
    <w:rsid w:val="00BF4226"/>
    <w:rsid w:val="00C00F35"/>
    <w:rsid w:val="00C12B07"/>
    <w:rsid w:val="00C1757C"/>
    <w:rsid w:val="00C327E4"/>
    <w:rsid w:val="00C35CA8"/>
    <w:rsid w:val="00C47ED1"/>
    <w:rsid w:val="00C54338"/>
    <w:rsid w:val="00C71A23"/>
    <w:rsid w:val="00C9066F"/>
    <w:rsid w:val="00C90D42"/>
    <w:rsid w:val="00C96230"/>
    <w:rsid w:val="00C963D3"/>
    <w:rsid w:val="00C9713A"/>
    <w:rsid w:val="00CA1178"/>
    <w:rsid w:val="00CA135B"/>
    <w:rsid w:val="00CA67F9"/>
    <w:rsid w:val="00CB41A3"/>
    <w:rsid w:val="00CC4AC2"/>
    <w:rsid w:val="00CE522C"/>
    <w:rsid w:val="00D01B92"/>
    <w:rsid w:val="00D036D5"/>
    <w:rsid w:val="00D21245"/>
    <w:rsid w:val="00D4044E"/>
    <w:rsid w:val="00D4139E"/>
    <w:rsid w:val="00D43ADF"/>
    <w:rsid w:val="00D55A1E"/>
    <w:rsid w:val="00D604F6"/>
    <w:rsid w:val="00D62A55"/>
    <w:rsid w:val="00D86C89"/>
    <w:rsid w:val="00DA363A"/>
    <w:rsid w:val="00DB35C9"/>
    <w:rsid w:val="00DB3CFF"/>
    <w:rsid w:val="00DC25FE"/>
    <w:rsid w:val="00DD0DF2"/>
    <w:rsid w:val="00DF0587"/>
    <w:rsid w:val="00E2372C"/>
    <w:rsid w:val="00E25D18"/>
    <w:rsid w:val="00E352F5"/>
    <w:rsid w:val="00E616F0"/>
    <w:rsid w:val="00E62B2E"/>
    <w:rsid w:val="00E62CED"/>
    <w:rsid w:val="00E66A31"/>
    <w:rsid w:val="00E7080E"/>
    <w:rsid w:val="00E74AAC"/>
    <w:rsid w:val="00E86156"/>
    <w:rsid w:val="00E96C96"/>
    <w:rsid w:val="00EA1666"/>
    <w:rsid w:val="00EC372E"/>
    <w:rsid w:val="00EC6B1E"/>
    <w:rsid w:val="00EC6E5F"/>
    <w:rsid w:val="00ED3B61"/>
    <w:rsid w:val="00ED7939"/>
    <w:rsid w:val="00EE31FE"/>
    <w:rsid w:val="00EF32FA"/>
    <w:rsid w:val="00F037D2"/>
    <w:rsid w:val="00F06261"/>
    <w:rsid w:val="00F26681"/>
    <w:rsid w:val="00F42312"/>
    <w:rsid w:val="00F507F0"/>
    <w:rsid w:val="00F62BB5"/>
    <w:rsid w:val="00F65A31"/>
    <w:rsid w:val="00F75DF4"/>
    <w:rsid w:val="00F8548B"/>
    <w:rsid w:val="00F931ED"/>
    <w:rsid w:val="00FB1881"/>
    <w:rsid w:val="00FB1ABE"/>
    <w:rsid w:val="00FF1481"/>
    <w:rsid w:val="29EA6473"/>
    <w:rsid w:val="3F04BC06"/>
    <w:rsid w:val="7FC2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704A0"/>
  <w15:docId w15:val="{56F2DAEB-964E-4A1B-840E-F3FA7FAE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988"/>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1AE"/>
    <w:pPr>
      <w:spacing w:after="0" w:line="240" w:lineRule="auto"/>
    </w:pPr>
  </w:style>
  <w:style w:type="paragraph" w:styleId="ListParagraph">
    <w:name w:val="List Paragraph"/>
    <w:basedOn w:val="Normal"/>
    <w:uiPriority w:val="34"/>
    <w:qFormat/>
    <w:rsid w:val="008B6DDF"/>
    <w:pPr>
      <w:ind w:left="720"/>
      <w:contextualSpacing/>
    </w:pPr>
  </w:style>
  <w:style w:type="character" w:styleId="Hyperlink">
    <w:name w:val="Hyperlink"/>
    <w:basedOn w:val="DefaultParagraphFont"/>
    <w:uiPriority w:val="99"/>
    <w:unhideWhenUsed/>
    <w:rsid w:val="00195DEF"/>
    <w:rPr>
      <w:color w:val="0563C1" w:themeColor="hyperlink"/>
      <w:u w:val="single"/>
    </w:rPr>
  </w:style>
  <w:style w:type="character" w:styleId="UnresolvedMention">
    <w:name w:val="Unresolved Mention"/>
    <w:basedOn w:val="DefaultParagraphFont"/>
    <w:uiPriority w:val="99"/>
    <w:semiHidden/>
    <w:unhideWhenUsed/>
    <w:rsid w:val="00195DEF"/>
    <w:rPr>
      <w:color w:val="605E5C"/>
      <w:shd w:val="clear" w:color="auto" w:fill="E1DFDD"/>
    </w:rPr>
  </w:style>
  <w:style w:type="table" w:styleId="TableGrid">
    <w:name w:val="Table Grid"/>
    <w:basedOn w:val="TableNormal"/>
    <w:uiPriority w:val="39"/>
    <w:rsid w:val="00F8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587"/>
  </w:style>
  <w:style w:type="paragraph" w:styleId="Footer">
    <w:name w:val="footer"/>
    <w:basedOn w:val="Normal"/>
    <w:link w:val="FooterChar"/>
    <w:uiPriority w:val="99"/>
    <w:unhideWhenUsed/>
    <w:rsid w:val="00DF0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587"/>
  </w:style>
  <w:style w:type="character" w:customStyle="1" w:styleId="Heading1Char">
    <w:name w:val="Heading 1 Char"/>
    <w:basedOn w:val="DefaultParagraphFont"/>
    <w:link w:val="Heading1"/>
    <w:uiPriority w:val="9"/>
    <w:rsid w:val="009609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5928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quita@mesh-m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quita@mesh-m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quita@mesh-mn.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aquita@mesh-m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macmn.org/no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A1D501A10454BB0C55058358DE1AB" ma:contentTypeVersion="13" ma:contentTypeDescription="Create a new document." ma:contentTypeScope="" ma:versionID="5295824262629cd088e27cab26992d1b">
  <xsd:schema xmlns:xsd="http://www.w3.org/2001/XMLSchema" xmlns:xs="http://www.w3.org/2001/XMLSchema" xmlns:p="http://schemas.microsoft.com/office/2006/metadata/properties" xmlns:ns2="73c90d20-9f0e-4f34-a1f3-e942bef13ddd" xmlns:ns3="8f75e13e-6573-4a7a-aec4-43999b64a410" targetNamespace="http://schemas.microsoft.com/office/2006/metadata/properties" ma:root="true" ma:fieldsID="e75ad718137c741254c2a728ee7fcf2b" ns2:_="" ns3:_="">
    <xsd:import namespace="73c90d20-9f0e-4f34-a1f3-e942bef13ddd"/>
    <xsd:import namespace="8f75e13e-6573-4a7a-aec4-43999b64a41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90d20-9f0e-4f34-a1f3-e942bef1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ec9735-2ba8-4a9e-995e-1924895de22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75e13e-6573-4a7a-aec4-43999b64a41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261626-b084-47c7-8262-f392d6ac4c3b}" ma:internalName="TaxCatchAll" ma:showField="CatchAllData" ma:web="8f75e13e-6573-4a7a-aec4-43999b64a41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c90d20-9f0e-4f34-a1f3-e942bef13ddd">
      <Terms xmlns="http://schemas.microsoft.com/office/infopath/2007/PartnerControls"/>
    </lcf76f155ced4ddcb4097134ff3c332f>
    <TaxCatchAll xmlns="8f75e13e-6573-4a7a-aec4-43999b64a4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3FC5B-B0A3-4D60-8A8B-C33AF2A81EA1}"/>
</file>

<file path=customXml/itemProps2.xml><?xml version="1.0" encoding="utf-8"?>
<ds:datastoreItem xmlns:ds="http://schemas.openxmlformats.org/officeDocument/2006/customXml" ds:itemID="{8D4E6785-5839-4B44-A36B-36AE5A193C9A}">
  <ds:schemaRefs>
    <ds:schemaRef ds:uri="http://schemas.microsoft.com/office/2006/metadata/properties"/>
    <ds:schemaRef ds:uri="http://schemas.microsoft.com/office/infopath/2007/PartnerControls"/>
    <ds:schemaRef ds:uri="73c90d20-9f0e-4f34-a1f3-e942bef13ddd"/>
    <ds:schemaRef ds:uri="8f75e13e-6573-4a7a-aec4-43999b64a410"/>
  </ds:schemaRefs>
</ds:datastoreItem>
</file>

<file path=customXml/itemProps3.xml><?xml version="1.0" encoding="utf-8"?>
<ds:datastoreItem xmlns:ds="http://schemas.openxmlformats.org/officeDocument/2006/customXml" ds:itemID="{CC0EAFE7-7BED-4920-B842-1C2D69425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5654</Words>
  <Characters>32229</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37808</CharactersWithSpaces>
  <SharedDoc>false</SharedDoc>
  <HLinks>
    <vt:vector size="30" baseType="variant">
      <vt:variant>
        <vt:i4>2555952</vt:i4>
      </vt:variant>
      <vt:variant>
        <vt:i4>12</vt:i4>
      </vt:variant>
      <vt:variant>
        <vt:i4>0</vt:i4>
      </vt:variant>
      <vt:variant>
        <vt:i4>5</vt:i4>
      </vt:variant>
      <vt:variant>
        <vt:lpwstr>http://www.smacmn.org/nofo</vt:lpwstr>
      </vt:variant>
      <vt:variant>
        <vt:lpwstr/>
      </vt:variant>
      <vt:variant>
        <vt:i4>2228310</vt:i4>
      </vt:variant>
      <vt:variant>
        <vt:i4>9</vt:i4>
      </vt:variant>
      <vt:variant>
        <vt:i4>0</vt:i4>
      </vt:variant>
      <vt:variant>
        <vt:i4>5</vt:i4>
      </vt:variant>
      <vt:variant>
        <vt:lpwstr>mailto:Laquita@mesh-mn.org</vt:lpwstr>
      </vt:variant>
      <vt:variant>
        <vt:lpwstr/>
      </vt:variant>
      <vt:variant>
        <vt:i4>2228310</vt:i4>
      </vt:variant>
      <vt:variant>
        <vt:i4>6</vt:i4>
      </vt:variant>
      <vt:variant>
        <vt:i4>0</vt:i4>
      </vt:variant>
      <vt:variant>
        <vt:i4>5</vt:i4>
      </vt:variant>
      <vt:variant>
        <vt:lpwstr>mailto:Laquita@mesh-mn.org</vt:lpwstr>
      </vt:variant>
      <vt:variant>
        <vt:lpwstr/>
      </vt:variant>
      <vt:variant>
        <vt:i4>2228310</vt:i4>
      </vt:variant>
      <vt:variant>
        <vt:i4>3</vt:i4>
      </vt:variant>
      <vt:variant>
        <vt:i4>0</vt:i4>
      </vt:variant>
      <vt:variant>
        <vt:i4>5</vt:i4>
      </vt:variant>
      <vt:variant>
        <vt:lpwstr>mailto:Laquita@mesh-mn.org</vt:lpwstr>
      </vt:variant>
      <vt:variant>
        <vt:lpwstr/>
      </vt:variant>
      <vt:variant>
        <vt:i4>2228310</vt:i4>
      </vt:variant>
      <vt:variant>
        <vt:i4>0</vt:i4>
      </vt:variant>
      <vt:variant>
        <vt:i4>0</vt:i4>
      </vt:variant>
      <vt:variant>
        <vt:i4>5</vt:i4>
      </vt:variant>
      <vt:variant>
        <vt:lpwstr>mailto:laquita@mesh-mn.org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Guilford</dc:creator>
  <cp:keywords/>
  <dc:description/>
  <cp:lastModifiedBy>Laquita Love-Limo</cp:lastModifiedBy>
  <cp:revision>103</cp:revision>
  <cp:lastPrinted>2018-07-12T00:25:00Z</cp:lastPrinted>
  <dcterms:created xsi:type="dcterms:W3CDTF">2023-07-14T01:26:00Z</dcterms:created>
  <dcterms:modified xsi:type="dcterms:W3CDTF">2023-07-14T16:04:00Z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07b35ca040dff6c29ffe5ff063ad5ab6af287cd6534545346d2165389ac74560</vt:lpwstr>
  </property>
  <property fmtid="{D5CDD505-2E9C-101B-9397-08002B2CF9AE}" pid="3" name="ContentTypeId">
    <vt:lpwstr>0x0101004F2A1D501A10454BB0C55058358DE1AB</vt:lpwstr>
  </property>
  <property fmtid="{D5CDD505-2E9C-101B-9397-08002B2CF9AE}" pid="4" name="MediaServiceImageTags">
    <vt:lpwstr/>
  </property>
</Properties>
</file>