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242"/>
        <w:gridCol w:w="1890"/>
        <w:gridCol w:w="2700"/>
        <w:gridCol w:w="2904"/>
        <w:gridCol w:w="2311"/>
      </w:tblGrid>
      <w:tr w:rsidR="007C764A" w14:paraId="29E0F2F9" w14:textId="4C249BDD" w:rsidTr="007C764A">
        <w:trPr>
          <w:trHeight w:val="440"/>
        </w:trPr>
        <w:tc>
          <w:tcPr>
            <w:tcW w:w="2343" w:type="dxa"/>
          </w:tcPr>
          <w:p w14:paraId="7C270A8D" w14:textId="77777777" w:rsidR="007C764A" w:rsidRDefault="007C764A"/>
        </w:tc>
        <w:tc>
          <w:tcPr>
            <w:tcW w:w="2242" w:type="dxa"/>
          </w:tcPr>
          <w:p w14:paraId="00CCC1B5" w14:textId="24D0F820" w:rsidR="007C764A" w:rsidRDefault="007C764A">
            <w:r>
              <w:t>Access</w:t>
            </w:r>
          </w:p>
        </w:tc>
        <w:tc>
          <w:tcPr>
            <w:tcW w:w="1890" w:type="dxa"/>
          </w:tcPr>
          <w:p w14:paraId="4A2FE13E" w14:textId="24C12A4F" w:rsidR="007C764A" w:rsidRDefault="007C764A">
            <w:r>
              <w:t>Assessment</w:t>
            </w:r>
          </w:p>
        </w:tc>
        <w:tc>
          <w:tcPr>
            <w:tcW w:w="2700" w:type="dxa"/>
          </w:tcPr>
          <w:p w14:paraId="4EF2BC05" w14:textId="435F7DAD" w:rsidR="007C764A" w:rsidRDefault="007C764A">
            <w:r>
              <w:t>Prioritization/Referral</w:t>
            </w:r>
          </w:p>
        </w:tc>
        <w:tc>
          <w:tcPr>
            <w:tcW w:w="2904" w:type="dxa"/>
          </w:tcPr>
          <w:p w14:paraId="176A4E51" w14:textId="79F30C72" w:rsidR="007C764A" w:rsidRDefault="007C764A">
            <w:r>
              <w:t>Provider Support</w:t>
            </w:r>
          </w:p>
        </w:tc>
        <w:tc>
          <w:tcPr>
            <w:tcW w:w="2311" w:type="dxa"/>
          </w:tcPr>
          <w:p w14:paraId="337C42B4" w14:textId="66430D57" w:rsidR="007C764A" w:rsidRDefault="007C764A">
            <w:r>
              <w:t>System Processes</w:t>
            </w:r>
          </w:p>
        </w:tc>
      </w:tr>
      <w:tr w:rsidR="007C764A" w14:paraId="7E5E432C" w14:textId="4117CFED" w:rsidTr="007C764A">
        <w:trPr>
          <w:trHeight w:val="260"/>
        </w:trPr>
        <w:tc>
          <w:tcPr>
            <w:tcW w:w="9175" w:type="dxa"/>
            <w:gridSpan w:val="4"/>
            <w:shd w:val="clear" w:color="auto" w:fill="C5E0B3" w:themeFill="accent6" w:themeFillTint="66"/>
          </w:tcPr>
          <w:p w14:paraId="7E3CD257" w14:textId="3278A674" w:rsidR="007C764A" w:rsidRDefault="007C764A">
            <w:r>
              <w:t>First Quarter</w:t>
            </w:r>
          </w:p>
        </w:tc>
        <w:tc>
          <w:tcPr>
            <w:tcW w:w="2904" w:type="dxa"/>
            <w:shd w:val="clear" w:color="auto" w:fill="C5E0B3" w:themeFill="accent6" w:themeFillTint="66"/>
          </w:tcPr>
          <w:p w14:paraId="35F4A9D6" w14:textId="77777777" w:rsidR="007C764A" w:rsidRDefault="007C764A"/>
        </w:tc>
        <w:tc>
          <w:tcPr>
            <w:tcW w:w="2311" w:type="dxa"/>
            <w:shd w:val="clear" w:color="auto" w:fill="C5E0B3" w:themeFill="accent6" w:themeFillTint="66"/>
          </w:tcPr>
          <w:p w14:paraId="49909D73" w14:textId="77777777" w:rsidR="007C764A" w:rsidRDefault="007C764A"/>
        </w:tc>
      </w:tr>
      <w:tr w:rsidR="007C764A" w14:paraId="7EF340E5" w14:textId="4BF52343" w:rsidTr="007C764A">
        <w:trPr>
          <w:trHeight w:val="620"/>
        </w:trPr>
        <w:tc>
          <w:tcPr>
            <w:tcW w:w="2343" w:type="dxa"/>
          </w:tcPr>
          <w:p w14:paraId="28078FEB" w14:textId="0BE29D3F" w:rsidR="007C764A" w:rsidRDefault="007C764A">
            <w:r>
              <w:t>January</w:t>
            </w:r>
          </w:p>
        </w:tc>
        <w:tc>
          <w:tcPr>
            <w:tcW w:w="2242" w:type="dxa"/>
          </w:tcPr>
          <w:p w14:paraId="236EBDF9" w14:textId="20836F67" w:rsidR="004F01E2" w:rsidRDefault="004F01E2">
            <w:r>
              <w:t>Access Monitoring report</w:t>
            </w:r>
          </w:p>
        </w:tc>
        <w:tc>
          <w:tcPr>
            <w:tcW w:w="1890" w:type="dxa"/>
          </w:tcPr>
          <w:p w14:paraId="6F392953" w14:textId="6A7C8F76" w:rsidR="007C764A" w:rsidRDefault="00926140">
            <w:r>
              <w:t>Assessment tool group meeting</w:t>
            </w:r>
          </w:p>
        </w:tc>
        <w:tc>
          <w:tcPr>
            <w:tcW w:w="2700" w:type="dxa"/>
          </w:tcPr>
          <w:p w14:paraId="6A64A1BC" w14:textId="674044FE" w:rsidR="007C764A" w:rsidRDefault="007C764A"/>
        </w:tc>
        <w:tc>
          <w:tcPr>
            <w:tcW w:w="2904" w:type="dxa"/>
          </w:tcPr>
          <w:p w14:paraId="39EC5909" w14:textId="5BC29BF8" w:rsidR="007C764A" w:rsidRDefault="001D430C">
            <w:r>
              <w:t>Provider Workshop replacement plan</w:t>
            </w:r>
          </w:p>
        </w:tc>
        <w:tc>
          <w:tcPr>
            <w:tcW w:w="2311" w:type="dxa"/>
          </w:tcPr>
          <w:p w14:paraId="16569D0E" w14:textId="506CDB39" w:rsidR="007C764A" w:rsidRDefault="009815F8">
            <w:r>
              <w:t>CES Committee purpose review</w:t>
            </w:r>
          </w:p>
        </w:tc>
      </w:tr>
      <w:tr w:rsidR="007C764A" w14:paraId="05BA93FE" w14:textId="13D3E227" w:rsidTr="007C764A">
        <w:trPr>
          <w:trHeight w:val="620"/>
        </w:trPr>
        <w:tc>
          <w:tcPr>
            <w:tcW w:w="2343" w:type="dxa"/>
          </w:tcPr>
          <w:p w14:paraId="4E01466A" w14:textId="3884DF2C" w:rsidR="007C764A" w:rsidRDefault="007C764A">
            <w:r>
              <w:t>February</w:t>
            </w:r>
          </w:p>
        </w:tc>
        <w:tc>
          <w:tcPr>
            <w:tcW w:w="2242" w:type="dxa"/>
          </w:tcPr>
          <w:p w14:paraId="0037B3C4" w14:textId="081782BD" w:rsidR="007C764A" w:rsidRDefault="002E5435">
            <w:r>
              <w:t>Assessor Training review</w:t>
            </w:r>
          </w:p>
        </w:tc>
        <w:tc>
          <w:tcPr>
            <w:tcW w:w="1890" w:type="dxa"/>
          </w:tcPr>
          <w:p w14:paraId="550D992F" w14:textId="6A7AB326" w:rsidR="007C764A" w:rsidRDefault="007C764A"/>
        </w:tc>
        <w:tc>
          <w:tcPr>
            <w:tcW w:w="2700" w:type="dxa"/>
          </w:tcPr>
          <w:p w14:paraId="04F5CDC9" w14:textId="33D29C8F" w:rsidR="007C764A" w:rsidRDefault="00DF1B00">
            <w:r>
              <w:t>Prioritization process review</w:t>
            </w:r>
          </w:p>
        </w:tc>
        <w:tc>
          <w:tcPr>
            <w:tcW w:w="2904" w:type="dxa"/>
          </w:tcPr>
          <w:p w14:paraId="68326170" w14:textId="4FEEEB51" w:rsidR="007C764A" w:rsidRDefault="007C764A">
            <w:r>
              <w:t>Provider Workshop</w:t>
            </w:r>
          </w:p>
        </w:tc>
        <w:tc>
          <w:tcPr>
            <w:tcW w:w="2311" w:type="dxa"/>
          </w:tcPr>
          <w:p w14:paraId="4297B142" w14:textId="78CFC210" w:rsidR="007C764A" w:rsidRDefault="00DF1B00">
            <w:r>
              <w:t>Advisory update</w:t>
            </w:r>
          </w:p>
        </w:tc>
      </w:tr>
      <w:tr w:rsidR="007C764A" w14:paraId="708DF98C" w14:textId="50780891" w:rsidTr="007C764A">
        <w:trPr>
          <w:trHeight w:val="620"/>
        </w:trPr>
        <w:tc>
          <w:tcPr>
            <w:tcW w:w="2343" w:type="dxa"/>
          </w:tcPr>
          <w:p w14:paraId="22FAE02D" w14:textId="17C6DBC4" w:rsidR="007C764A" w:rsidRDefault="007C764A">
            <w:r>
              <w:t>March</w:t>
            </w:r>
          </w:p>
        </w:tc>
        <w:tc>
          <w:tcPr>
            <w:tcW w:w="2242" w:type="dxa"/>
          </w:tcPr>
          <w:p w14:paraId="1068551A" w14:textId="76DCDA51" w:rsidR="007C764A" w:rsidRDefault="007C764A"/>
        </w:tc>
        <w:tc>
          <w:tcPr>
            <w:tcW w:w="1890" w:type="dxa"/>
          </w:tcPr>
          <w:p w14:paraId="61CC2AAC" w14:textId="13D478F3" w:rsidR="007C764A" w:rsidRDefault="00451A26">
            <w:r>
              <w:t>List maintenance</w:t>
            </w:r>
          </w:p>
        </w:tc>
        <w:tc>
          <w:tcPr>
            <w:tcW w:w="2700" w:type="dxa"/>
          </w:tcPr>
          <w:p w14:paraId="23932B6F" w14:textId="573E77CB" w:rsidR="007C764A" w:rsidRDefault="004F01E2">
            <w:r>
              <w:t>Vacancy report</w:t>
            </w:r>
          </w:p>
        </w:tc>
        <w:tc>
          <w:tcPr>
            <w:tcW w:w="2904" w:type="dxa"/>
          </w:tcPr>
          <w:p w14:paraId="40717249" w14:textId="3151ED64" w:rsidR="007C764A" w:rsidRDefault="004F01E2">
            <w:r>
              <w:t>Denial report</w:t>
            </w:r>
          </w:p>
        </w:tc>
        <w:tc>
          <w:tcPr>
            <w:tcW w:w="2311" w:type="dxa"/>
          </w:tcPr>
          <w:p w14:paraId="071FEE31" w14:textId="77777777" w:rsidR="007C764A" w:rsidRDefault="00926140">
            <w:r>
              <w:t>CES Data review</w:t>
            </w:r>
          </w:p>
          <w:p w14:paraId="27ED897B" w14:textId="00A01CD9" w:rsidR="00DF1B00" w:rsidRDefault="00DF1B00">
            <w:r>
              <w:t>Work plan progress review</w:t>
            </w:r>
          </w:p>
        </w:tc>
      </w:tr>
      <w:tr w:rsidR="007C764A" w14:paraId="785B4E80" w14:textId="5EBFEF40" w:rsidTr="007C764A">
        <w:trPr>
          <w:trHeight w:val="341"/>
        </w:trPr>
        <w:tc>
          <w:tcPr>
            <w:tcW w:w="9175" w:type="dxa"/>
            <w:gridSpan w:val="4"/>
            <w:shd w:val="clear" w:color="auto" w:fill="C5E0B3" w:themeFill="accent6" w:themeFillTint="66"/>
          </w:tcPr>
          <w:p w14:paraId="7A6B1040" w14:textId="5892589F" w:rsidR="007C764A" w:rsidRDefault="007C764A">
            <w:r>
              <w:t>Second Quarter</w:t>
            </w:r>
          </w:p>
        </w:tc>
        <w:tc>
          <w:tcPr>
            <w:tcW w:w="2904" w:type="dxa"/>
            <w:shd w:val="clear" w:color="auto" w:fill="C5E0B3" w:themeFill="accent6" w:themeFillTint="66"/>
          </w:tcPr>
          <w:p w14:paraId="62C3C16B" w14:textId="77777777" w:rsidR="007C764A" w:rsidRDefault="007C764A"/>
        </w:tc>
        <w:tc>
          <w:tcPr>
            <w:tcW w:w="2311" w:type="dxa"/>
            <w:shd w:val="clear" w:color="auto" w:fill="C5E0B3" w:themeFill="accent6" w:themeFillTint="66"/>
          </w:tcPr>
          <w:p w14:paraId="044A539A" w14:textId="77777777" w:rsidR="007C764A" w:rsidRDefault="007C764A"/>
        </w:tc>
      </w:tr>
      <w:tr w:rsidR="007C764A" w14:paraId="7983C125" w14:textId="3275FD42" w:rsidTr="007C764A">
        <w:trPr>
          <w:trHeight w:val="620"/>
        </w:trPr>
        <w:tc>
          <w:tcPr>
            <w:tcW w:w="2343" w:type="dxa"/>
          </w:tcPr>
          <w:p w14:paraId="271966C0" w14:textId="7E0C7D1C" w:rsidR="007C764A" w:rsidRDefault="007C764A" w:rsidP="00E32E76">
            <w:r>
              <w:t>April</w:t>
            </w:r>
          </w:p>
        </w:tc>
        <w:tc>
          <w:tcPr>
            <w:tcW w:w="2242" w:type="dxa"/>
          </w:tcPr>
          <w:p w14:paraId="3CB20A8B" w14:textId="1A133FF8" w:rsidR="007C764A" w:rsidRDefault="004F01E2" w:rsidP="00E32E76">
            <w:r>
              <w:t>Access Monitoring report</w:t>
            </w:r>
          </w:p>
        </w:tc>
        <w:tc>
          <w:tcPr>
            <w:tcW w:w="1890" w:type="dxa"/>
          </w:tcPr>
          <w:p w14:paraId="11AB73BC" w14:textId="7289F67E" w:rsidR="007C764A" w:rsidRDefault="00926140" w:rsidP="00E32E76">
            <w:r>
              <w:t>Assessment tool group meeting</w:t>
            </w:r>
          </w:p>
        </w:tc>
        <w:tc>
          <w:tcPr>
            <w:tcW w:w="2700" w:type="dxa"/>
          </w:tcPr>
          <w:p w14:paraId="7C5DCFE1" w14:textId="4C3A6198" w:rsidR="007C764A" w:rsidRDefault="007C764A" w:rsidP="00E32E76"/>
        </w:tc>
        <w:tc>
          <w:tcPr>
            <w:tcW w:w="2904" w:type="dxa"/>
          </w:tcPr>
          <w:p w14:paraId="53AE7DBF" w14:textId="2C110A44" w:rsidR="007C764A" w:rsidRDefault="007C764A" w:rsidP="00E32E76"/>
        </w:tc>
        <w:tc>
          <w:tcPr>
            <w:tcW w:w="2311" w:type="dxa"/>
          </w:tcPr>
          <w:p w14:paraId="73819D4C" w14:textId="7B96E725" w:rsidR="007C764A" w:rsidRDefault="00926140" w:rsidP="00E32E76">
            <w:r>
              <w:t>Policy and Procedure update</w:t>
            </w:r>
          </w:p>
        </w:tc>
      </w:tr>
      <w:tr w:rsidR="007C764A" w14:paraId="5CDE45FF" w14:textId="4E7C6205" w:rsidTr="007C764A">
        <w:trPr>
          <w:trHeight w:val="530"/>
        </w:trPr>
        <w:tc>
          <w:tcPr>
            <w:tcW w:w="2343" w:type="dxa"/>
          </w:tcPr>
          <w:p w14:paraId="3221624A" w14:textId="325B2A8E" w:rsidR="007C764A" w:rsidRDefault="007C764A" w:rsidP="00E32E76">
            <w:r>
              <w:t>May</w:t>
            </w:r>
          </w:p>
        </w:tc>
        <w:tc>
          <w:tcPr>
            <w:tcW w:w="2242" w:type="dxa"/>
          </w:tcPr>
          <w:p w14:paraId="027BA5C4" w14:textId="35338ED7" w:rsidR="007C764A" w:rsidRDefault="007C764A" w:rsidP="00E32E76"/>
        </w:tc>
        <w:tc>
          <w:tcPr>
            <w:tcW w:w="1890" w:type="dxa"/>
          </w:tcPr>
          <w:p w14:paraId="4E959E14" w14:textId="1D17E8F9" w:rsidR="007C764A" w:rsidRDefault="007C764A" w:rsidP="00E32E76"/>
        </w:tc>
        <w:tc>
          <w:tcPr>
            <w:tcW w:w="2700" w:type="dxa"/>
          </w:tcPr>
          <w:p w14:paraId="41F37B20" w14:textId="76BED849" w:rsidR="007C764A" w:rsidRDefault="007C764A" w:rsidP="00E32E76"/>
        </w:tc>
        <w:tc>
          <w:tcPr>
            <w:tcW w:w="2904" w:type="dxa"/>
          </w:tcPr>
          <w:p w14:paraId="6C0949DC" w14:textId="3B0AC6E8" w:rsidR="007C764A" w:rsidRDefault="007C764A" w:rsidP="00E32E76">
            <w:r>
              <w:t>Provider Workshop</w:t>
            </w:r>
          </w:p>
        </w:tc>
        <w:tc>
          <w:tcPr>
            <w:tcW w:w="2311" w:type="dxa"/>
          </w:tcPr>
          <w:p w14:paraId="14C94BEF" w14:textId="77A4ABA2" w:rsidR="007C764A" w:rsidRDefault="00DF1B00" w:rsidP="00E32E76">
            <w:r>
              <w:t>Advisory update</w:t>
            </w:r>
          </w:p>
        </w:tc>
      </w:tr>
      <w:tr w:rsidR="007C764A" w14:paraId="125E1604" w14:textId="0972DBCE" w:rsidTr="007C764A">
        <w:trPr>
          <w:trHeight w:val="620"/>
        </w:trPr>
        <w:tc>
          <w:tcPr>
            <w:tcW w:w="2343" w:type="dxa"/>
          </w:tcPr>
          <w:p w14:paraId="1F6F73DD" w14:textId="4469CD2C" w:rsidR="007C764A" w:rsidRDefault="007C764A" w:rsidP="00E32E76">
            <w:r>
              <w:t>June</w:t>
            </w:r>
          </w:p>
        </w:tc>
        <w:tc>
          <w:tcPr>
            <w:tcW w:w="2242" w:type="dxa"/>
          </w:tcPr>
          <w:p w14:paraId="109369C8" w14:textId="15FB9571" w:rsidR="007C764A" w:rsidRDefault="007C764A" w:rsidP="00E32E76"/>
        </w:tc>
        <w:tc>
          <w:tcPr>
            <w:tcW w:w="1890" w:type="dxa"/>
          </w:tcPr>
          <w:p w14:paraId="56303495" w14:textId="39514B56" w:rsidR="007C764A" w:rsidRDefault="007C764A" w:rsidP="00E32E76"/>
        </w:tc>
        <w:tc>
          <w:tcPr>
            <w:tcW w:w="2700" w:type="dxa"/>
          </w:tcPr>
          <w:p w14:paraId="5FEBB4C9" w14:textId="37EDDDDD" w:rsidR="007C764A" w:rsidRDefault="004F01E2" w:rsidP="00E32E76">
            <w:r>
              <w:t>Vacancy report</w:t>
            </w:r>
          </w:p>
        </w:tc>
        <w:tc>
          <w:tcPr>
            <w:tcW w:w="2904" w:type="dxa"/>
          </w:tcPr>
          <w:p w14:paraId="6EC4B469" w14:textId="0F5F1302" w:rsidR="007C764A" w:rsidRDefault="004F01E2" w:rsidP="00E32E76">
            <w:r>
              <w:t>Denial report</w:t>
            </w:r>
          </w:p>
        </w:tc>
        <w:tc>
          <w:tcPr>
            <w:tcW w:w="2311" w:type="dxa"/>
          </w:tcPr>
          <w:p w14:paraId="377A1447" w14:textId="77777777" w:rsidR="007C764A" w:rsidRDefault="00926140" w:rsidP="00E32E76">
            <w:r>
              <w:t>CES Data review</w:t>
            </w:r>
          </w:p>
          <w:p w14:paraId="1667285C" w14:textId="6168C1EE" w:rsidR="00DF1B00" w:rsidRDefault="00DF1B00" w:rsidP="00E32E76">
            <w:r>
              <w:t>Work plan progress review</w:t>
            </w:r>
          </w:p>
        </w:tc>
      </w:tr>
      <w:tr w:rsidR="007C764A" w14:paraId="19336F94" w14:textId="0E83FF95" w:rsidTr="007C764A">
        <w:trPr>
          <w:trHeight w:val="170"/>
        </w:trPr>
        <w:tc>
          <w:tcPr>
            <w:tcW w:w="9175" w:type="dxa"/>
            <w:gridSpan w:val="4"/>
            <w:shd w:val="clear" w:color="auto" w:fill="C5E0B3" w:themeFill="accent6" w:themeFillTint="66"/>
          </w:tcPr>
          <w:p w14:paraId="089A0EB8" w14:textId="3756FB3B" w:rsidR="007C764A" w:rsidRDefault="007C764A" w:rsidP="00E32E76">
            <w:r>
              <w:t>Third Quarter</w:t>
            </w:r>
          </w:p>
        </w:tc>
        <w:tc>
          <w:tcPr>
            <w:tcW w:w="2904" w:type="dxa"/>
            <w:shd w:val="clear" w:color="auto" w:fill="C5E0B3" w:themeFill="accent6" w:themeFillTint="66"/>
          </w:tcPr>
          <w:p w14:paraId="32668F15" w14:textId="77777777" w:rsidR="007C764A" w:rsidRDefault="007C764A" w:rsidP="00E32E76"/>
        </w:tc>
        <w:tc>
          <w:tcPr>
            <w:tcW w:w="2311" w:type="dxa"/>
            <w:shd w:val="clear" w:color="auto" w:fill="C5E0B3" w:themeFill="accent6" w:themeFillTint="66"/>
          </w:tcPr>
          <w:p w14:paraId="78F0A668" w14:textId="77777777" w:rsidR="007C764A" w:rsidRDefault="007C764A" w:rsidP="00E32E76"/>
        </w:tc>
      </w:tr>
      <w:tr w:rsidR="00451A26" w14:paraId="37D716B0" w14:textId="432CD539" w:rsidTr="007C764A">
        <w:trPr>
          <w:trHeight w:val="530"/>
        </w:trPr>
        <w:tc>
          <w:tcPr>
            <w:tcW w:w="2343" w:type="dxa"/>
          </w:tcPr>
          <w:p w14:paraId="0FC68E44" w14:textId="7AEB2CED" w:rsidR="00451A26" w:rsidRDefault="00451A26" w:rsidP="00451A26">
            <w:r>
              <w:t>July</w:t>
            </w:r>
          </w:p>
        </w:tc>
        <w:tc>
          <w:tcPr>
            <w:tcW w:w="2242" w:type="dxa"/>
          </w:tcPr>
          <w:p w14:paraId="018492B0" w14:textId="090E461D" w:rsidR="00451A26" w:rsidRDefault="00451A26" w:rsidP="00451A26">
            <w:r>
              <w:t>Access Monitoring report</w:t>
            </w:r>
          </w:p>
        </w:tc>
        <w:tc>
          <w:tcPr>
            <w:tcW w:w="1890" w:type="dxa"/>
          </w:tcPr>
          <w:p w14:paraId="3E7F61C8" w14:textId="169BE3BD" w:rsidR="00451A26" w:rsidRDefault="00451A26" w:rsidP="00451A26">
            <w:r>
              <w:t>Assessment tool group meeting</w:t>
            </w:r>
          </w:p>
        </w:tc>
        <w:tc>
          <w:tcPr>
            <w:tcW w:w="2700" w:type="dxa"/>
          </w:tcPr>
          <w:p w14:paraId="7E1D6C98" w14:textId="77777777" w:rsidR="00451A26" w:rsidRDefault="00451A26" w:rsidP="00451A26"/>
        </w:tc>
        <w:tc>
          <w:tcPr>
            <w:tcW w:w="2904" w:type="dxa"/>
          </w:tcPr>
          <w:p w14:paraId="4912EC16" w14:textId="17D5C603" w:rsidR="00451A26" w:rsidRDefault="00451A26" w:rsidP="00451A26">
            <w:r>
              <w:t>Provider meeting evaluation reporting</w:t>
            </w:r>
          </w:p>
        </w:tc>
        <w:tc>
          <w:tcPr>
            <w:tcW w:w="2311" w:type="dxa"/>
          </w:tcPr>
          <w:p w14:paraId="29FCC5D9" w14:textId="77777777" w:rsidR="00451A26" w:rsidRDefault="00451A26" w:rsidP="00451A26"/>
        </w:tc>
      </w:tr>
      <w:tr w:rsidR="00451A26" w14:paraId="59493017" w14:textId="613EDD03" w:rsidTr="007C764A">
        <w:trPr>
          <w:trHeight w:val="530"/>
        </w:trPr>
        <w:tc>
          <w:tcPr>
            <w:tcW w:w="2343" w:type="dxa"/>
          </w:tcPr>
          <w:p w14:paraId="475C2154" w14:textId="0734B191" w:rsidR="00451A26" w:rsidRDefault="00451A26" w:rsidP="00451A26">
            <w:r>
              <w:t>August</w:t>
            </w:r>
          </w:p>
        </w:tc>
        <w:tc>
          <w:tcPr>
            <w:tcW w:w="2242" w:type="dxa"/>
          </w:tcPr>
          <w:p w14:paraId="42DF013D" w14:textId="0506E8E4" w:rsidR="00451A26" w:rsidRDefault="00451A26" w:rsidP="00451A26"/>
        </w:tc>
        <w:tc>
          <w:tcPr>
            <w:tcW w:w="1890" w:type="dxa"/>
          </w:tcPr>
          <w:p w14:paraId="518E4064" w14:textId="6ED34241" w:rsidR="00451A26" w:rsidRDefault="00451A26" w:rsidP="00451A26"/>
        </w:tc>
        <w:tc>
          <w:tcPr>
            <w:tcW w:w="2700" w:type="dxa"/>
          </w:tcPr>
          <w:p w14:paraId="18201C1F" w14:textId="77777777" w:rsidR="00451A26" w:rsidRDefault="00451A26" w:rsidP="00451A26"/>
        </w:tc>
        <w:tc>
          <w:tcPr>
            <w:tcW w:w="2904" w:type="dxa"/>
          </w:tcPr>
          <w:p w14:paraId="4340474C" w14:textId="0CFE0ECD" w:rsidR="00451A26" w:rsidRDefault="00451A26" w:rsidP="00451A26">
            <w:r>
              <w:t xml:space="preserve">Provider Workshop </w:t>
            </w:r>
          </w:p>
        </w:tc>
        <w:tc>
          <w:tcPr>
            <w:tcW w:w="2311" w:type="dxa"/>
          </w:tcPr>
          <w:p w14:paraId="43B1AB5C" w14:textId="669C2EC9" w:rsidR="00451A26" w:rsidRDefault="00451A26" w:rsidP="00451A26">
            <w:r>
              <w:t>Advisory update</w:t>
            </w:r>
          </w:p>
        </w:tc>
      </w:tr>
      <w:tr w:rsidR="00451A26" w14:paraId="6C81A898" w14:textId="1207B826" w:rsidTr="007C764A">
        <w:trPr>
          <w:trHeight w:val="530"/>
        </w:trPr>
        <w:tc>
          <w:tcPr>
            <w:tcW w:w="2343" w:type="dxa"/>
          </w:tcPr>
          <w:p w14:paraId="62102BBB" w14:textId="17E019B0" w:rsidR="00451A26" w:rsidRDefault="00451A26" w:rsidP="00451A26">
            <w:r>
              <w:t>September</w:t>
            </w:r>
          </w:p>
        </w:tc>
        <w:tc>
          <w:tcPr>
            <w:tcW w:w="2242" w:type="dxa"/>
          </w:tcPr>
          <w:p w14:paraId="1A2B39D2" w14:textId="53D9DB6F" w:rsidR="00451A26" w:rsidRDefault="00451A26" w:rsidP="00451A26">
            <w:r>
              <w:t>Access meeting evaluation reporting</w:t>
            </w:r>
          </w:p>
        </w:tc>
        <w:tc>
          <w:tcPr>
            <w:tcW w:w="1890" w:type="dxa"/>
          </w:tcPr>
          <w:p w14:paraId="51D4D1CE" w14:textId="77F90245" w:rsidR="00451A26" w:rsidRDefault="00451A26" w:rsidP="00451A26">
            <w:r>
              <w:t>List maintenance</w:t>
            </w:r>
          </w:p>
        </w:tc>
        <w:tc>
          <w:tcPr>
            <w:tcW w:w="2700" w:type="dxa"/>
          </w:tcPr>
          <w:p w14:paraId="10E6101D" w14:textId="0382C5C8" w:rsidR="00451A26" w:rsidRDefault="00451A26" w:rsidP="00451A26">
            <w:r>
              <w:t>Vacancy report</w:t>
            </w:r>
          </w:p>
        </w:tc>
        <w:tc>
          <w:tcPr>
            <w:tcW w:w="2904" w:type="dxa"/>
          </w:tcPr>
          <w:p w14:paraId="493E5A08" w14:textId="365249A3" w:rsidR="00451A26" w:rsidRDefault="00451A26" w:rsidP="00451A26">
            <w:r>
              <w:t>Denial report</w:t>
            </w:r>
          </w:p>
        </w:tc>
        <w:tc>
          <w:tcPr>
            <w:tcW w:w="2311" w:type="dxa"/>
          </w:tcPr>
          <w:p w14:paraId="0300D6A3" w14:textId="77777777" w:rsidR="00451A26" w:rsidRDefault="00451A26" w:rsidP="00451A26">
            <w:r>
              <w:t>CES Data review</w:t>
            </w:r>
          </w:p>
          <w:p w14:paraId="4D304778" w14:textId="593F529C" w:rsidR="00451A26" w:rsidRDefault="00451A26" w:rsidP="00451A26">
            <w:r>
              <w:t>Work plan progress review</w:t>
            </w:r>
          </w:p>
        </w:tc>
      </w:tr>
      <w:tr w:rsidR="00451A26" w14:paraId="3EB3EB6B" w14:textId="5032B33D" w:rsidTr="007C764A">
        <w:trPr>
          <w:trHeight w:val="251"/>
        </w:trPr>
        <w:tc>
          <w:tcPr>
            <w:tcW w:w="9175" w:type="dxa"/>
            <w:gridSpan w:val="4"/>
            <w:shd w:val="clear" w:color="auto" w:fill="C5E0B3" w:themeFill="accent6" w:themeFillTint="66"/>
          </w:tcPr>
          <w:p w14:paraId="13CD1BE5" w14:textId="2EEE5785" w:rsidR="00451A26" w:rsidRDefault="00451A26" w:rsidP="00451A26">
            <w:r>
              <w:t>Fourth Quarter</w:t>
            </w:r>
          </w:p>
        </w:tc>
        <w:tc>
          <w:tcPr>
            <w:tcW w:w="2904" w:type="dxa"/>
            <w:shd w:val="clear" w:color="auto" w:fill="C5E0B3" w:themeFill="accent6" w:themeFillTint="66"/>
          </w:tcPr>
          <w:p w14:paraId="36AEA8D5" w14:textId="77777777" w:rsidR="00451A26" w:rsidRDefault="00451A26" w:rsidP="00451A26"/>
        </w:tc>
        <w:tc>
          <w:tcPr>
            <w:tcW w:w="2311" w:type="dxa"/>
            <w:shd w:val="clear" w:color="auto" w:fill="C5E0B3" w:themeFill="accent6" w:themeFillTint="66"/>
          </w:tcPr>
          <w:p w14:paraId="44131389" w14:textId="77777777" w:rsidR="00451A26" w:rsidRDefault="00451A26" w:rsidP="00451A26"/>
        </w:tc>
      </w:tr>
      <w:tr w:rsidR="00451A26" w14:paraId="685EB7C1" w14:textId="2AE14996" w:rsidTr="007C764A">
        <w:trPr>
          <w:trHeight w:val="620"/>
        </w:trPr>
        <w:tc>
          <w:tcPr>
            <w:tcW w:w="2343" w:type="dxa"/>
          </w:tcPr>
          <w:p w14:paraId="12C9C757" w14:textId="1C2268A8" w:rsidR="00451A26" w:rsidRDefault="00451A26" w:rsidP="00451A26">
            <w:r>
              <w:t>October</w:t>
            </w:r>
          </w:p>
        </w:tc>
        <w:tc>
          <w:tcPr>
            <w:tcW w:w="2242" w:type="dxa"/>
          </w:tcPr>
          <w:p w14:paraId="064EABB8" w14:textId="044BF858" w:rsidR="00451A26" w:rsidRDefault="00451A26" w:rsidP="00451A26">
            <w:r>
              <w:t>Access Monitoring report</w:t>
            </w:r>
          </w:p>
        </w:tc>
        <w:tc>
          <w:tcPr>
            <w:tcW w:w="1890" w:type="dxa"/>
          </w:tcPr>
          <w:p w14:paraId="08BD7C85" w14:textId="416B4F85" w:rsidR="00451A26" w:rsidRDefault="00451A26" w:rsidP="00451A26">
            <w:r>
              <w:t>Assessment tool group meeting</w:t>
            </w:r>
          </w:p>
        </w:tc>
        <w:tc>
          <w:tcPr>
            <w:tcW w:w="2700" w:type="dxa"/>
          </w:tcPr>
          <w:p w14:paraId="09CEEA5B" w14:textId="77777777" w:rsidR="00451A26" w:rsidRDefault="00451A26" w:rsidP="00451A26"/>
        </w:tc>
        <w:tc>
          <w:tcPr>
            <w:tcW w:w="2904" w:type="dxa"/>
          </w:tcPr>
          <w:p w14:paraId="59BDA3A2" w14:textId="3145404A" w:rsidR="00451A26" w:rsidRDefault="00451A26" w:rsidP="00451A26"/>
        </w:tc>
        <w:tc>
          <w:tcPr>
            <w:tcW w:w="2311" w:type="dxa"/>
          </w:tcPr>
          <w:p w14:paraId="51844863" w14:textId="77777777" w:rsidR="00451A26" w:rsidRDefault="00451A26" w:rsidP="00451A26">
            <w:r>
              <w:t>MOU Review/Update</w:t>
            </w:r>
          </w:p>
          <w:p w14:paraId="1FD0B8AA" w14:textId="6543387E" w:rsidR="00451A26" w:rsidRDefault="00451A26" w:rsidP="00451A26">
            <w:r>
              <w:t>Eligibility Updates</w:t>
            </w:r>
            <w:r w:rsidR="003862F8">
              <w:t xml:space="preserve"> – including Property Management </w:t>
            </w:r>
          </w:p>
        </w:tc>
      </w:tr>
      <w:tr w:rsidR="00451A26" w14:paraId="50C3E388" w14:textId="25491BF0" w:rsidTr="007C764A">
        <w:trPr>
          <w:trHeight w:val="620"/>
        </w:trPr>
        <w:tc>
          <w:tcPr>
            <w:tcW w:w="2343" w:type="dxa"/>
          </w:tcPr>
          <w:p w14:paraId="766863F4" w14:textId="0056CA49" w:rsidR="00451A26" w:rsidRDefault="00451A26" w:rsidP="00451A26">
            <w:r>
              <w:t>November</w:t>
            </w:r>
          </w:p>
        </w:tc>
        <w:tc>
          <w:tcPr>
            <w:tcW w:w="2242" w:type="dxa"/>
          </w:tcPr>
          <w:p w14:paraId="0F40DE95" w14:textId="75F6CAB0" w:rsidR="00451A26" w:rsidRDefault="00451A26" w:rsidP="00451A26">
            <w:r>
              <w:t>Access Needs/Gaps analysis- ensuring there is a culturally appropriate response</w:t>
            </w:r>
          </w:p>
        </w:tc>
        <w:tc>
          <w:tcPr>
            <w:tcW w:w="1890" w:type="dxa"/>
          </w:tcPr>
          <w:p w14:paraId="1A83E3B9" w14:textId="131E5F76" w:rsidR="00451A26" w:rsidRDefault="00451A26" w:rsidP="00451A26"/>
        </w:tc>
        <w:tc>
          <w:tcPr>
            <w:tcW w:w="2700" w:type="dxa"/>
          </w:tcPr>
          <w:p w14:paraId="6929EBE1" w14:textId="77777777" w:rsidR="00451A26" w:rsidRDefault="00451A26" w:rsidP="00451A26"/>
        </w:tc>
        <w:tc>
          <w:tcPr>
            <w:tcW w:w="2904" w:type="dxa"/>
          </w:tcPr>
          <w:p w14:paraId="11B38F8A" w14:textId="600047E7" w:rsidR="00451A26" w:rsidRDefault="00451A26" w:rsidP="00451A26">
            <w:r>
              <w:t>Provider Workshop</w:t>
            </w:r>
          </w:p>
        </w:tc>
        <w:tc>
          <w:tcPr>
            <w:tcW w:w="2311" w:type="dxa"/>
          </w:tcPr>
          <w:p w14:paraId="00C1994A" w14:textId="64AED697" w:rsidR="00451A26" w:rsidRDefault="00451A26" w:rsidP="00451A26">
            <w:r>
              <w:t>Advisory update</w:t>
            </w:r>
          </w:p>
        </w:tc>
      </w:tr>
      <w:tr w:rsidR="00451A26" w14:paraId="4A85C59D" w14:textId="1E2249DB" w:rsidTr="007C764A">
        <w:trPr>
          <w:trHeight w:val="530"/>
        </w:trPr>
        <w:tc>
          <w:tcPr>
            <w:tcW w:w="2343" w:type="dxa"/>
          </w:tcPr>
          <w:p w14:paraId="3CC684C9" w14:textId="5A8DCF6C" w:rsidR="00451A26" w:rsidRDefault="00451A26" w:rsidP="00451A26">
            <w:r>
              <w:t>December</w:t>
            </w:r>
          </w:p>
        </w:tc>
        <w:tc>
          <w:tcPr>
            <w:tcW w:w="2242" w:type="dxa"/>
          </w:tcPr>
          <w:p w14:paraId="2D6FC256" w14:textId="258F6799" w:rsidR="00451A26" w:rsidRDefault="00451A26" w:rsidP="00451A26"/>
        </w:tc>
        <w:tc>
          <w:tcPr>
            <w:tcW w:w="1890" w:type="dxa"/>
          </w:tcPr>
          <w:p w14:paraId="4CBEB07F" w14:textId="18123B13" w:rsidR="00451A26" w:rsidRDefault="00451A26" w:rsidP="00451A26"/>
        </w:tc>
        <w:tc>
          <w:tcPr>
            <w:tcW w:w="2700" w:type="dxa"/>
          </w:tcPr>
          <w:p w14:paraId="401B76FF" w14:textId="714E1FF1" w:rsidR="00451A26" w:rsidRDefault="00451A26" w:rsidP="00451A26">
            <w:r>
              <w:t>Vacancy report</w:t>
            </w:r>
          </w:p>
        </w:tc>
        <w:tc>
          <w:tcPr>
            <w:tcW w:w="2904" w:type="dxa"/>
          </w:tcPr>
          <w:p w14:paraId="1569119E" w14:textId="3DCE1C33" w:rsidR="00451A26" w:rsidRDefault="00451A26" w:rsidP="00451A26">
            <w:r>
              <w:t>Denial report</w:t>
            </w:r>
          </w:p>
        </w:tc>
        <w:tc>
          <w:tcPr>
            <w:tcW w:w="2311" w:type="dxa"/>
          </w:tcPr>
          <w:p w14:paraId="58F8BDD2" w14:textId="77777777" w:rsidR="00451A26" w:rsidRDefault="00451A26" w:rsidP="00451A26">
            <w:r>
              <w:t>CES Data review</w:t>
            </w:r>
          </w:p>
          <w:p w14:paraId="24782337" w14:textId="4F9DAC34" w:rsidR="00451A26" w:rsidRDefault="00451A26" w:rsidP="00451A26">
            <w:r>
              <w:t xml:space="preserve">Work plan progress review   </w:t>
            </w:r>
          </w:p>
        </w:tc>
      </w:tr>
    </w:tbl>
    <w:p w14:paraId="773BA071" w14:textId="3F7B7906" w:rsidR="009815F8" w:rsidRDefault="009815F8"/>
    <w:sectPr w:rsidR="009815F8" w:rsidSect="00D358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CF"/>
    <w:rsid w:val="00171E5C"/>
    <w:rsid w:val="001D430C"/>
    <w:rsid w:val="002D34DF"/>
    <w:rsid w:val="002E5435"/>
    <w:rsid w:val="003470F9"/>
    <w:rsid w:val="003843F6"/>
    <w:rsid w:val="003862F8"/>
    <w:rsid w:val="003B5711"/>
    <w:rsid w:val="003C77B4"/>
    <w:rsid w:val="00451A26"/>
    <w:rsid w:val="004B7BCF"/>
    <w:rsid w:val="004C18D4"/>
    <w:rsid w:val="004F01E2"/>
    <w:rsid w:val="005564A6"/>
    <w:rsid w:val="006635CF"/>
    <w:rsid w:val="006F3795"/>
    <w:rsid w:val="007C764A"/>
    <w:rsid w:val="0080462B"/>
    <w:rsid w:val="008D4141"/>
    <w:rsid w:val="00926140"/>
    <w:rsid w:val="009815F8"/>
    <w:rsid w:val="00C54338"/>
    <w:rsid w:val="00C625C7"/>
    <w:rsid w:val="00CE12B5"/>
    <w:rsid w:val="00D35827"/>
    <w:rsid w:val="00DF1B00"/>
    <w:rsid w:val="00E32E76"/>
    <w:rsid w:val="00ED430F"/>
    <w:rsid w:val="00EF335D"/>
    <w:rsid w:val="00F507F0"/>
    <w:rsid w:val="00F5379B"/>
    <w:rsid w:val="00F81B37"/>
    <w:rsid w:val="119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536C"/>
  <w15:chartTrackingRefBased/>
  <w15:docId w15:val="{74624BCB-642C-40EB-B5EF-1D0FED4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Liz Moen</cp:lastModifiedBy>
  <cp:revision>5</cp:revision>
  <dcterms:created xsi:type="dcterms:W3CDTF">2020-12-28T18:00:00Z</dcterms:created>
  <dcterms:modified xsi:type="dcterms:W3CDTF">2021-01-19T16:49:00Z</dcterms:modified>
</cp:coreProperties>
</file>